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00" w:rsidRPr="006B0852" w:rsidRDefault="001D5E00" w:rsidP="001D5E00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E00" w:rsidRDefault="001D5E00" w:rsidP="001D5E00">
      <w:pPr>
        <w:pStyle w:val="ConsTitle"/>
        <w:widowControl/>
        <w:spacing w:after="440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Ненецкого автономного округа</w:t>
      </w:r>
    </w:p>
    <w:p w:rsidR="001D5E00" w:rsidRDefault="001D5E00" w:rsidP="001D5E00">
      <w:pPr>
        <w:pStyle w:val="ConsTitle"/>
        <w:widowControl/>
        <w:spacing w:after="440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Двадцать пятая сессия 27-го созыва</w:t>
      </w:r>
    </w:p>
    <w:p w:rsidR="001D5E00" w:rsidRDefault="001D5E00" w:rsidP="001D5E00">
      <w:pPr>
        <w:pStyle w:val="ConsTitle"/>
        <w:widowControl/>
        <w:tabs>
          <w:tab w:val="left" w:pos="3119"/>
        </w:tabs>
        <w:spacing w:after="600"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1D5E00" w:rsidRPr="00540B14" w:rsidRDefault="001D5E00" w:rsidP="001D5E00">
      <w:pPr>
        <w:jc w:val="center"/>
        <w:rPr>
          <w:b/>
        </w:rPr>
      </w:pPr>
      <w:r w:rsidRPr="00540B14">
        <w:rPr>
          <w:b/>
        </w:rPr>
        <w:t xml:space="preserve">Об утверждении Положения об Общественной молодёжной палате </w:t>
      </w:r>
    </w:p>
    <w:p w:rsidR="00540B14" w:rsidRPr="00540B14" w:rsidRDefault="001D5E00" w:rsidP="00540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0B14">
        <w:rPr>
          <w:rFonts w:ascii="Times New Roman" w:hAnsi="Times New Roman" w:cs="Times New Roman"/>
          <w:b/>
          <w:sz w:val="24"/>
          <w:szCs w:val="24"/>
        </w:rPr>
        <w:t>при Собрании депутатов Ненецкого автономного округа</w:t>
      </w:r>
      <w:r w:rsidR="00540B14" w:rsidRPr="00540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B14" w:rsidRPr="00A82BD9" w:rsidRDefault="00540B14" w:rsidP="00540B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2BD9">
        <w:rPr>
          <w:rFonts w:ascii="Times New Roman" w:hAnsi="Times New Roman" w:cs="Times New Roman"/>
          <w:sz w:val="24"/>
          <w:szCs w:val="24"/>
        </w:rPr>
        <w:t>(в ред.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2BD9">
        <w:rPr>
          <w:rFonts w:ascii="Times New Roman" w:hAnsi="Times New Roman" w:cs="Times New Roman"/>
          <w:sz w:val="24"/>
          <w:szCs w:val="24"/>
        </w:rPr>
        <w:t xml:space="preserve"> Собрания депутатов НАО</w:t>
      </w:r>
      <w:proofErr w:type="gramEnd"/>
    </w:p>
    <w:p w:rsidR="001D5E00" w:rsidRPr="004C79A0" w:rsidRDefault="00540B14" w:rsidP="00540B14">
      <w:pPr>
        <w:spacing w:after="800"/>
        <w:jc w:val="center"/>
        <w:rPr>
          <w:b/>
        </w:rPr>
      </w:pPr>
      <w:r>
        <w:t>от 05.07.2018</w:t>
      </w:r>
      <w:r w:rsidRPr="00A82BD9">
        <w:t xml:space="preserve"> </w:t>
      </w:r>
      <w:r>
        <w:t>№ 148</w:t>
      </w:r>
      <w:r w:rsidRPr="00A82BD9">
        <w:t>-сд</w:t>
      </w:r>
      <w:r>
        <w:t>)</w:t>
      </w:r>
    </w:p>
    <w:p w:rsidR="001D5E00" w:rsidRDefault="001D5E00" w:rsidP="001D5E00">
      <w:pPr>
        <w:tabs>
          <w:tab w:val="left" w:pos="709"/>
        </w:tabs>
        <w:spacing w:after="440"/>
        <w:jc w:val="center"/>
        <w:rPr>
          <w:b/>
          <w:bCs/>
        </w:rPr>
      </w:pPr>
      <w:r w:rsidRPr="00473981">
        <w:rPr>
          <w:bCs/>
        </w:rPr>
        <w:t>Собрание депутатов Ненецкого автономного округа</w:t>
      </w:r>
      <w:r w:rsidRPr="00441D75">
        <w:rPr>
          <w:b/>
          <w:bCs/>
        </w:rPr>
        <w:t xml:space="preserve"> </w:t>
      </w:r>
      <w:proofErr w:type="spellStart"/>
      <w:proofErr w:type="gramStart"/>
      <w:r w:rsidRPr="00473981">
        <w:rPr>
          <w:b/>
        </w:rPr>
        <w:t>п</w:t>
      </w:r>
      <w:proofErr w:type="spellEnd"/>
      <w:proofErr w:type="gramEnd"/>
      <w:r w:rsidRPr="00473981">
        <w:rPr>
          <w:b/>
        </w:rPr>
        <w:t xml:space="preserve"> о с т а </w:t>
      </w:r>
      <w:proofErr w:type="spellStart"/>
      <w:r w:rsidRPr="00473981">
        <w:rPr>
          <w:b/>
        </w:rPr>
        <w:t>н</w:t>
      </w:r>
      <w:proofErr w:type="spellEnd"/>
      <w:r w:rsidRPr="00473981">
        <w:rPr>
          <w:b/>
        </w:rPr>
        <w:t xml:space="preserve"> о в л я е т</w:t>
      </w:r>
      <w:r w:rsidRPr="00473981">
        <w:rPr>
          <w:b/>
          <w:bCs/>
        </w:rPr>
        <w:t>:</w:t>
      </w:r>
    </w:p>
    <w:p w:rsidR="001D5E00" w:rsidRDefault="001D5E00" w:rsidP="001D5E00">
      <w:pPr>
        <w:pStyle w:val="30"/>
      </w:pPr>
      <w:r>
        <w:t>1. Утвердить Положение об Общественной молодёжной палате при Собрании депутатов Ненецкого автономного округа (прилагается).</w:t>
      </w:r>
    </w:p>
    <w:p w:rsidR="001D5E00" w:rsidRDefault="001D5E00" w:rsidP="001D5E00">
      <w:pPr>
        <w:pStyle w:val="30"/>
      </w:pPr>
    </w:p>
    <w:p w:rsidR="001D5E00" w:rsidRDefault="001D5E00" w:rsidP="001D5E00">
      <w:pPr>
        <w:pStyle w:val="30"/>
      </w:pPr>
      <w:r>
        <w:t>2. Признать утратившими силу:</w:t>
      </w:r>
    </w:p>
    <w:p w:rsidR="001D5E00" w:rsidRDefault="001D5E00" w:rsidP="001D5E00">
      <w:pPr>
        <w:pStyle w:val="30"/>
      </w:pPr>
      <w:r>
        <w:t>постановление Собрания депутатов Ненецкого автономного округа от 31 января 2007 года № 27-сд «О Положении «Об Общественной молодёжной палате при Собрании депутатов Ненецкого автономного округа»;</w:t>
      </w:r>
    </w:p>
    <w:p w:rsidR="001D5E00" w:rsidRDefault="001D5E00" w:rsidP="001D5E00">
      <w:pPr>
        <w:pStyle w:val="30"/>
      </w:pPr>
      <w:r>
        <w:t>постановление Собрания депутатов Ненецкого автономного округа от 15 июня 2007 года № 224-сд «О внесении изменений в Положение «Об Общественной молодёжной палате при Собрании депутатов Ненецкого автономного округа»;</w:t>
      </w:r>
    </w:p>
    <w:p w:rsidR="001D5E00" w:rsidRDefault="001D5E00" w:rsidP="001D5E00">
      <w:pPr>
        <w:pStyle w:val="30"/>
      </w:pPr>
      <w:r>
        <w:t>постановление Собрания депутатов Ненецкого автономного округа от 12 марта 2008 года № 64-сд «О внесении изменений в Положение «Об Общественной молодёжной палате при Собрании депутатов Ненецкого автономного округа»;</w:t>
      </w:r>
    </w:p>
    <w:p w:rsidR="001D5E00" w:rsidRDefault="001D5E00" w:rsidP="001D5E00">
      <w:pPr>
        <w:pStyle w:val="30"/>
      </w:pPr>
      <w:r>
        <w:t>постановление Собрания депутатов Ненецкого автономного округа от 19 февраля 2009 года № 44-сд «О внесении изменений в Положение «Об Общественной молодёжной палате при Собрании депутатов Ненецкого автономного округа»;</w:t>
      </w:r>
    </w:p>
    <w:p w:rsidR="001D5E00" w:rsidRDefault="001D5E00" w:rsidP="001D5E00">
      <w:pPr>
        <w:pStyle w:val="30"/>
      </w:pPr>
      <w:r>
        <w:t>постановление Собрания депутатов Ненецкого автономного округа от 6 марта июня 2014 года № 45-сд «О внесении изменений в Положение «Об Общественной молодёжной палате при Собрании депутатов Ненецкого автономного округа»;</w:t>
      </w:r>
    </w:p>
    <w:p w:rsidR="001D5E00" w:rsidRDefault="001D5E00" w:rsidP="001D5E00">
      <w:pPr>
        <w:pStyle w:val="30"/>
      </w:pPr>
      <w:r>
        <w:t>постановление Собрания депутатов Ненецкого автономного округа от 20 мая 2014 года № 128-сд «О внесении изменения в Положение «Об Общественной молодёжной палате при Собрании депутатов Ненецкого автономного округа».</w:t>
      </w:r>
    </w:p>
    <w:p w:rsidR="001D5E00" w:rsidRDefault="001D5E00" w:rsidP="001D5E00">
      <w:pPr>
        <w:pStyle w:val="30"/>
      </w:pPr>
    </w:p>
    <w:p w:rsidR="001D5E00" w:rsidRDefault="001D5E00" w:rsidP="001D5E00">
      <w:pPr>
        <w:pStyle w:val="30"/>
      </w:pPr>
      <w:r>
        <w:t xml:space="preserve">3. </w:t>
      </w:r>
      <w:proofErr w:type="gramStart"/>
      <w:r>
        <w:t>Установить, что</w:t>
      </w:r>
      <w:r>
        <w:rPr>
          <w:rFonts w:eastAsia="Calibri"/>
          <w:lang w:eastAsia="en-US"/>
        </w:rPr>
        <w:t xml:space="preserve"> полномочия членов Общественной молодёжной палаты при Собрании депутатов Ненецкого автономного округа, сформированной на основании Положения «Об Общественной молодёжной палате при Собрании депутатов Ненецкого автономного округа», утверждённого постановлением Собрания депутатов Ненецкого </w:t>
      </w:r>
      <w:r>
        <w:rPr>
          <w:rFonts w:eastAsia="Calibri"/>
          <w:lang w:eastAsia="en-US"/>
        </w:rPr>
        <w:lastRenderedPageBreak/>
        <w:t>автономного округа от 31 января 2007 года № 27-сд, истекают в день формирования состава Общественной молодёжной палаты при Собрании депутатов Ненецкого автономного округа в порядке, установленном Положением, указанным в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пункте</w:t>
      </w:r>
      <w:proofErr w:type="gramEnd"/>
      <w:r>
        <w:rPr>
          <w:rFonts w:eastAsia="Calibri"/>
          <w:lang w:eastAsia="en-US"/>
        </w:rPr>
        <w:t xml:space="preserve"> 1 настоящего постановления.</w:t>
      </w:r>
    </w:p>
    <w:p w:rsidR="001D5E00" w:rsidRDefault="001D5E00" w:rsidP="001D5E00">
      <w:pPr>
        <w:pStyle w:val="30"/>
      </w:pPr>
    </w:p>
    <w:p w:rsidR="001D5E00" w:rsidRPr="00E421E2" w:rsidRDefault="001D5E00" w:rsidP="001D5E00">
      <w:pPr>
        <w:pStyle w:val="30"/>
        <w:spacing w:after="1000"/>
      </w:pPr>
      <w:r>
        <w:t>4. Настоящее постановление вступает в силу со дня его принятия.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6228"/>
        <w:gridCol w:w="3058"/>
      </w:tblGrid>
      <w:tr w:rsidR="001D5E00" w:rsidTr="005A3D9D">
        <w:tc>
          <w:tcPr>
            <w:tcW w:w="6228" w:type="dxa"/>
          </w:tcPr>
          <w:p w:rsidR="001D5E00" w:rsidRPr="00D26E82" w:rsidRDefault="001D5E00" w:rsidP="005A3D9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</w:t>
            </w:r>
          </w:p>
          <w:p w:rsidR="001D5E00" w:rsidRPr="00D26E82" w:rsidRDefault="001D5E00" w:rsidP="005A3D9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3058" w:type="dxa"/>
          </w:tcPr>
          <w:p w:rsidR="001D5E00" w:rsidRPr="00D26E82" w:rsidRDefault="001D5E00" w:rsidP="005A3D9D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E00" w:rsidRPr="00D26E82" w:rsidRDefault="001D5E00" w:rsidP="005A3D9D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Мяндин</w:t>
            </w:r>
            <w:proofErr w:type="spellEnd"/>
          </w:p>
        </w:tc>
      </w:tr>
    </w:tbl>
    <w:p w:rsidR="001D5E00" w:rsidRDefault="001D5E00" w:rsidP="001D5E00">
      <w:pPr>
        <w:pStyle w:val="ConsTitle"/>
        <w:widowControl/>
        <w:spacing w:before="1000"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г. Нарьян-Мар</w:t>
      </w:r>
    </w:p>
    <w:p w:rsidR="001D5E00" w:rsidRDefault="001D5E00" w:rsidP="001D5E0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30 июня 2016 года</w:t>
      </w:r>
    </w:p>
    <w:p w:rsidR="001D5E00" w:rsidRDefault="001D5E00" w:rsidP="001D5E0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54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193-</w:t>
      </w:r>
      <w:r w:rsidRPr="0038543C">
        <w:rPr>
          <w:rFonts w:ascii="Times New Roman" w:hAnsi="Times New Roman" w:cs="Times New Roman"/>
          <w:b w:val="0"/>
          <w:bCs w:val="0"/>
          <w:sz w:val="24"/>
          <w:szCs w:val="24"/>
        </w:rPr>
        <w:t>сд</w:t>
      </w:r>
    </w:p>
    <w:p w:rsidR="001D5E00" w:rsidRPr="00612952" w:rsidRDefault="001D5E00" w:rsidP="001D5E00">
      <w:pPr>
        <w:pStyle w:val="ConsPlusTitle"/>
        <w:widowControl/>
        <w:ind w:left="5103"/>
        <w:jc w:val="right"/>
        <w:rPr>
          <w:b w:val="0"/>
        </w:rPr>
      </w:pPr>
      <w:r>
        <w:rPr>
          <w:b w:val="0"/>
          <w:bCs w:val="0"/>
        </w:rPr>
        <w:br w:type="page"/>
      </w:r>
      <w:r w:rsidRPr="00612952">
        <w:rPr>
          <w:b w:val="0"/>
        </w:rPr>
        <w:lastRenderedPageBreak/>
        <w:t>Утверждено</w:t>
      </w:r>
    </w:p>
    <w:p w:rsidR="001D5E00" w:rsidRPr="00612952" w:rsidRDefault="001D5E00" w:rsidP="001D5E00">
      <w:pPr>
        <w:pStyle w:val="ConsPlusTitle"/>
        <w:widowControl/>
        <w:ind w:left="5103"/>
        <w:jc w:val="right"/>
        <w:rPr>
          <w:b w:val="0"/>
        </w:rPr>
      </w:pPr>
      <w:r w:rsidRPr="00612952">
        <w:rPr>
          <w:b w:val="0"/>
        </w:rPr>
        <w:t>постановлением Собрания депутатов</w:t>
      </w:r>
    </w:p>
    <w:p w:rsidR="001D5E00" w:rsidRPr="00612952" w:rsidRDefault="001D5E00" w:rsidP="001D5E00">
      <w:pPr>
        <w:pStyle w:val="ConsPlusTitle"/>
        <w:widowControl/>
        <w:ind w:left="5103"/>
        <w:jc w:val="right"/>
        <w:rPr>
          <w:b w:val="0"/>
        </w:rPr>
      </w:pPr>
      <w:r w:rsidRPr="00612952">
        <w:rPr>
          <w:b w:val="0"/>
        </w:rPr>
        <w:t>Ненецкого автономного округа</w:t>
      </w:r>
    </w:p>
    <w:p w:rsidR="001D5E00" w:rsidRPr="00612952" w:rsidRDefault="001D5E00" w:rsidP="001D5E00">
      <w:pPr>
        <w:pStyle w:val="ConsPlusTitle"/>
        <w:widowControl/>
        <w:ind w:left="5103"/>
        <w:jc w:val="right"/>
        <w:rPr>
          <w:b w:val="0"/>
        </w:rPr>
      </w:pPr>
      <w:r w:rsidRPr="00612952">
        <w:rPr>
          <w:b w:val="0"/>
        </w:rPr>
        <w:t>от 30 июня 2016</w:t>
      </w:r>
      <w:r>
        <w:rPr>
          <w:b w:val="0"/>
        </w:rPr>
        <w:t xml:space="preserve"> года</w:t>
      </w:r>
      <w:r w:rsidRPr="00612952">
        <w:rPr>
          <w:b w:val="0"/>
        </w:rPr>
        <w:t xml:space="preserve"> № 193-сд</w:t>
      </w:r>
    </w:p>
    <w:p w:rsidR="001D5E00" w:rsidRPr="00612952" w:rsidRDefault="001D5E00" w:rsidP="001D5E00">
      <w:pPr>
        <w:pStyle w:val="ConsTitle"/>
        <w:widowControl/>
        <w:autoSpaceDE/>
        <w:autoSpaceDN/>
        <w:adjustRightInd/>
        <w:spacing w:before="600"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 w:rsidRPr="00612952">
        <w:rPr>
          <w:rFonts w:ascii="Times New Roman" w:hAnsi="Times New Roman" w:cs="Times New Roman"/>
          <w:bCs w:val="0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bCs w:val="0"/>
          <w:snapToGrid w:val="0"/>
          <w:sz w:val="28"/>
          <w:szCs w:val="28"/>
        </w:rPr>
        <w:t>оложение</w:t>
      </w:r>
    </w:p>
    <w:p w:rsidR="001D5E00" w:rsidRDefault="001D5E00" w:rsidP="001D5E00">
      <w:pPr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об Общественной молодёжной палате</w:t>
      </w:r>
    </w:p>
    <w:p w:rsidR="001D5E00" w:rsidRDefault="001D5E00" w:rsidP="004F24D4">
      <w:pPr>
        <w:pStyle w:val="ConsTitle"/>
        <w:widowControl/>
        <w:autoSpaceDE/>
        <w:autoSpaceDN/>
        <w:adjustRightInd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 w:rsidRPr="00411C3E">
        <w:rPr>
          <w:rFonts w:ascii="Times New Roman" w:hAnsi="Times New Roman" w:cs="Times New Roman"/>
          <w:bCs w:val="0"/>
          <w:snapToGrid w:val="0"/>
          <w:sz w:val="28"/>
          <w:szCs w:val="28"/>
        </w:rPr>
        <w:t>при Собрании депутатов Ненецкого автономного округа</w:t>
      </w:r>
    </w:p>
    <w:p w:rsidR="004F24D4" w:rsidRPr="00A82BD9" w:rsidRDefault="003A578D" w:rsidP="004F24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4D4">
        <w:rPr>
          <w:rFonts w:ascii="Times New Roman" w:hAnsi="Times New Roman" w:cs="Times New Roman"/>
          <w:sz w:val="24"/>
          <w:szCs w:val="24"/>
        </w:rPr>
        <w:t>(в ред. постановления</w:t>
      </w:r>
      <w:r w:rsidR="004F24D4" w:rsidRPr="00A82BD9">
        <w:rPr>
          <w:rFonts w:ascii="Times New Roman" w:hAnsi="Times New Roman" w:cs="Times New Roman"/>
          <w:sz w:val="24"/>
          <w:szCs w:val="24"/>
        </w:rPr>
        <w:t xml:space="preserve"> Собрания депутатов НАО</w:t>
      </w:r>
      <w:proofErr w:type="gramEnd"/>
    </w:p>
    <w:p w:rsidR="004F24D4" w:rsidRPr="004F24D4" w:rsidRDefault="004F24D4" w:rsidP="004F24D4">
      <w:pPr>
        <w:pStyle w:val="ConsTitle"/>
        <w:widowControl/>
        <w:autoSpaceDE/>
        <w:autoSpaceDN/>
        <w:adjustRightInd/>
        <w:spacing w:after="800"/>
        <w:ind w:right="0"/>
        <w:jc w:val="center"/>
        <w:rPr>
          <w:rFonts w:ascii="Times New Roman" w:hAnsi="Times New Roman" w:cs="Times New Roman"/>
          <w:b w:val="0"/>
          <w:bCs w:val="0"/>
          <w:snapToGrid w:val="0"/>
          <w:sz w:val="28"/>
          <w:szCs w:val="28"/>
        </w:rPr>
      </w:pPr>
      <w:r w:rsidRPr="004F24D4">
        <w:rPr>
          <w:rFonts w:ascii="Times New Roman" w:hAnsi="Times New Roman" w:cs="Times New Roman"/>
          <w:b w:val="0"/>
          <w:sz w:val="24"/>
          <w:szCs w:val="24"/>
        </w:rPr>
        <w:t>от 05.07.2018 № 148-сд)</w:t>
      </w:r>
    </w:p>
    <w:p w:rsidR="001D5E00" w:rsidRPr="00411C3E" w:rsidRDefault="001D5E00" w:rsidP="001D5E00">
      <w:pPr>
        <w:jc w:val="center"/>
        <w:rPr>
          <w:b/>
        </w:rPr>
      </w:pPr>
      <w:r w:rsidRPr="00411C3E">
        <w:rPr>
          <w:b/>
        </w:rPr>
        <w:t>1. Общие положения</w:t>
      </w:r>
    </w:p>
    <w:p w:rsidR="001D5E00" w:rsidRPr="00506CCA" w:rsidRDefault="001D5E00" w:rsidP="001D5E00">
      <w:pPr>
        <w:autoSpaceDE w:val="0"/>
        <w:autoSpaceDN w:val="0"/>
        <w:adjustRightInd w:val="0"/>
        <w:jc w:val="center"/>
        <w:rPr>
          <w:rFonts w:eastAsia="Calibri"/>
        </w:rPr>
      </w:pP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1.1. </w:t>
      </w:r>
      <w:proofErr w:type="gramStart"/>
      <w:r>
        <w:rPr>
          <w:rFonts w:eastAsia="Calibri"/>
        </w:rPr>
        <w:t>Общественная молодё</w:t>
      </w:r>
      <w:r w:rsidRPr="00506CCA">
        <w:rPr>
          <w:rFonts w:eastAsia="Calibri"/>
        </w:rPr>
        <w:t>жная палата при Собрании депутатов Ненецкого ав</w:t>
      </w:r>
      <w:r>
        <w:rPr>
          <w:rFonts w:eastAsia="Calibri"/>
        </w:rPr>
        <w:t>тономного округа (далее – Молодё</w:t>
      </w:r>
      <w:r w:rsidRPr="00506CCA">
        <w:rPr>
          <w:rFonts w:eastAsia="Calibri"/>
        </w:rPr>
        <w:t>жная палата) является постоянно действующим общественным совещательным органом, созданным при Собрании депутатов Ненецкого автономного округа с целью обеспечения активного участия молодёжи в формировании и реализации окружной молодёжной политики, содействия деятельности Собрания депутатов</w:t>
      </w:r>
      <w:r>
        <w:rPr>
          <w:rFonts w:eastAsia="Calibri"/>
        </w:rPr>
        <w:t xml:space="preserve"> Ненецкого автономного округа в</w:t>
      </w:r>
      <w:r w:rsidRPr="00506CCA">
        <w:rPr>
          <w:rFonts w:eastAsia="Calibri"/>
        </w:rPr>
        <w:t xml:space="preserve"> сфере законодательного регулирования прав</w:t>
      </w:r>
      <w:r>
        <w:rPr>
          <w:rFonts w:eastAsia="Calibri"/>
        </w:rPr>
        <w:t xml:space="preserve"> и законных интересов молодёжи.</w:t>
      </w:r>
      <w:proofErr w:type="gramEnd"/>
    </w:p>
    <w:p w:rsidR="001D5E00" w:rsidRPr="00B419A2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1.2. Молодёж</w:t>
      </w:r>
      <w:r w:rsidRPr="00506CCA">
        <w:rPr>
          <w:rFonts w:eastAsia="Calibri"/>
        </w:rPr>
        <w:t>ная палата осуществляет свою деятельность на общественных началах, руководствуясь Конституцией Российской Федерации, законодательством Российской Федерации, законодательством Ненецкого автономного</w:t>
      </w:r>
      <w:r>
        <w:rPr>
          <w:rFonts w:eastAsia="Calibri"/>
        </w:rPr>
        <w:t xml:space="preserve"> округа и настоящим Положением.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B419A2" w:rsidRDefault="001D5E00" w:rsidP="001D5E00">
      <w:pPr>
        <w:jc w:val="center"/>
        <w:rPr>
          <w:b/>
        </w:rPr>
      </w:pPr>
      <w:r w:rsidRPr="00B419A2">
        <w:rPr>
          <w:b/>
        </w:rPr>
        <w:t>2. Цели и задачи Молодёжной палаты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2.1. Целями Молодё</w:t>
      </w:r>
      <w:r w:rsidRPr="00506CCA">
        <w:rPr>
          <w:rFonts w:eastAsia="Calibri"/>
        </w:rPr>
        <w:t>жной палаты являются: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1) содействие деятельности Собрания депутатов Ненецкого автономного округа (далее </w:t>
      </w:r>
      <w:r>
        <w:rPr>
          <w:rFonts w:eastAsia="Calibri"/>
        </w:rPr>
        <w:t>–</w:t>
      </w:r>
      <w:r w:rsidRPr="00506CCA">
        <w:rPr>
          <w:rFonts w:eastAsia="Calibri"/>
        </w:rPr>
        <w:t xml:space="preserve"> Собрание депутатов) в сфере законодательного регулирования прав и законных интересов молод</w:t>
      </w:r>
      <w:r>
        <w:rPr>
          <w:rFonts w:eastAsia="Calibri"/>
        </w:rPr>
        <w:t>ё</w:t>
      </w:r>
      <w:r w:rsidRPr="00506CCA">
        <w:rPr>
          <w:rFonts w:eastAsia="Calibri"/>
        </w:rPr>
        <w:t>жи, а также по иным вопросам, отнесённым к ведению Молодёжной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2) повышение интереса молодёжи к деятельности окружного Собрания депутатов;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3) вовлечение молодё</w:t>
      </w:r>
      <w:r w:rsidRPr="00506CCA">
        <w:rPr>
          <w:rFonts w:eastAsia="Calibri"/>
        </w:rPr>
        <w:t>жи Ненецкого автономного округа в активную обществ</w:t>
      </w:r>
      <w:r>
        <w:rPr>
          <w:rFonts w:eastAsia="Calibri"/>
        </w:rPr>
        <w:t>енно-политическую деятельность;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повышение гражданской активности и социальной ответственности молодёжи.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2.2. Задачами Молодё</w:t>
      </w:r>
      <w:r w:rsidRPr="00506CCA">
        <w:rPr>
          <w:rFonts w:eastAsia="Calibri"/>
        </w:rPr>
        <w:t>жной палаты являются: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1) внесение предложений в органы государственной власти Ненецкого автономного округа и органы местного са</w:t>
      </w:r>
      <w:r>
        <w:rPr>
          <w:rFonts w:eastAsia="Calibri"/>
        </w:rPr>
        <w:t>моуправления по проблемам молодё</w:t>
      </w:r>
      <w:r w:rsidRPr="00506CCA">
        <w:rPr>
          <w:rFonts w:eastAsia="Calibri"/>
        </w:rPr>
        <w:t>жной политики;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2) принятие рекомендаций по основным направлениям развития законо</w:t>
      </w:r>
      <w:r>
        <w:rPr>
          <w:rFonts w:eastAsia="Calibri"/>
        </w:rPr>
        <w:t>дательства округа в сфере молодё</w:t>
      </w:r>
      <w:r w:rsidRPr="00506CCA">
        <w:rPr>
          <w:rFonts w:eastAsia="Calibri"/>
        </w:rPr>
        <w:t>жной политики;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3) содействие защите прав и законных интересов молод</w:t>
      </w:r>
      <w:r>
        <w:rPr>
          <w:rFonts w:eastAsia="Calibri"/>
        </w:rPr>
        <w:t>ё</w:t>
      </w:r>
      <w:r w:rsidRPr="00506CCA">
        <w:rPr>
          <w:rFonts w:eastAsia="Calibri"/>
        </w:rPr>
        <w:t>жи, представление их инициатив при разработке и обсуждении проектов законов округа, затрагивающих права и законные интере</w:t>
      </w:r>
      <w:r>
        <w:rPr>
          <w:rFonts w:eastAsia="Calibri"/>
        </w:rPr>
        <w:t>сы молодё</w:t>
      </w:r>
      <w:r w:rsidRPr="00506CCA">
        <w:rPr>
          <w:rFonts w:eastAsia="Calibri"/>
        </w:rPr>
        <w:t>жи;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ведение просветительской и</w:t>
      </w:r>
      <w:r>
        <w:rPr>
          <w:rFonts w:eastAsia="Calibri"/>
        </w:rPr>
        <w:t xml:space="preserve"> разъяснительной работы в молодё</w:t>
      </w:r>
      <w:r w:rsidRPr="00506CCA">
        <w:rPr>
          <w:rFonts w:eastAsia="Calibri"/>
        </w:rPr>
        <w:t xml:space="preserve">жной среде, направленной на повышение правовой культуры молодых избирателей, доступности </w:t>
      </w:r>
      <w:r w:rsidRPr="00506CCA">
        <w:rPr>
          <w:rFonts w:eastAsia="Calibri"/>
        </w:rPr>
        <w:lastRenderedPageBreak/>
        <w:t>общественно-политической информации, а также на формирование активной гражданской позиции молод</w:t>
      </w:r>
      <w:r>
        <w:rPr>
          <w:rFonts w:eastAsia="Calibri"/>
        </w:rPr>
        <w:t>ё</w:t>
      </w:r>
      <w:r w:rsidRPr="00506CCA">
        <w:rPr>
          <w:rFonts w:eastAsia="Calibri"/>
        </w:rPr>
        <w:t>жи округа;</w:t>
      </w:r>
    </w:p>
    <w:p w:rsidR="001D5E00" w:rsidRPr="009B5E8F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5E8F">
        <w:rPr>
          <w:rFonts w:eastAsia="Calibri"/>
        </w:rPr>
        <w:t>5) изучение мнения молодёжи о деятельности органов государственной власти округа и органов местного самоуправления по вопросам реализации молодёжной политики;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</w:t>
      </w:r>
      <w:r>
        <w:rPr>
          <w:rFonts w:eastAsia="Calibri"/>
        </w:rPr>
        <w:t>) представление интересов молодёжи округа в Общественной молодёжной палате (Молодё</w:t>
      </w:r>
      <w:r w:rsidRPr="00506CCA">
        <w:rPr>
          <w:rFonts w:eastAsia="Calibri"/>
        </w:rPr>
        <w:t>жном парламенте) при Государственной Думе Федерального Собрания Российской Федерации и в Совете по взаимодействию Совета Федерации Федерального Собран</w:t>
      </w:r>
      <w:r>
        <w:rPr>
          <w:rFonts w:eastAsia="Calibri"/>
        </w:rPr>
        <w:t>ия Российской Федерации с молодё</w:t>
      </w:r>
      <w:r w:rsidRPr="00506CCA">
        <w:rPr>
          <w:rFonts w:eastAsia="Calibri"/>
        </w:rPr>
        <w:t xml:space="preserve">жными парламентами </w:t>
      </w:r>
      <w:r>
        <w:rPr>
          <w:rFonts w:eastAsia="Calibri"/>
        </w:rPr>
        <w:t>субъектов Российской Федерации, молодё</w:t>
      </w:r>
      <w:r w:rsidRPr="00506CCA">
        <w:rPr>
          <w:rFonts w:eastAsia="Calibri"/>
        </w:rPr>
        <w:t>жными общественными объединени</w:t>
      </w:r>
      <w:r>
        <w:rPr>
          <w:rFonts w:eastAsia="Calibri"/>
        </w:rPr>
        <w:t>ями Российской Федерации (Молодё</w:t>
      </w:r>
      <w:r w:rsidRPr="00506CCA">
        <w:rPr>
          <w:rFonts w:eastAsia="Calibri"/>
        </w:rPr>
        <w:t>жной парламентской ассамблее);</w:t>
      </w:r>
    </w:p>
    <w:p w:rsidR="001D5E00" w:rsidRPr="009B5E8F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</w:rPr>
      </w:pPr>
      <w:r w:rsidRPr="009B5E8F">
        <w:rPr>
          <w:rFonts w:eastAsia="Calibri"/>
          <w:spacing w:val="-4"/>
        </w:rPr>
        <w:t>7) подготовка предложений по развитию межрегиональных и международных связей Собрания депутатов по вопросам, отнесённым к компетенции Молодёжной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8) осуществление постоянного взаимодействия с общероссийскими, межрегиональными,</w:t>
      </w:r>
      <w:r>
        <w:rPr>
          <w:rFonts w:eastAsia="Calibri"/>
        </w:rPr>
        <w:t xml:space="preserve"> региональными и местными молодё</w:t>
      </w:r>
      <w:r w:rsidRPr="00506CCA">
        <w:rPr>
          <w:rFonts w:eastAsia="Calibri"/>
        </w:rPr>
        <w:t>жными общественными, студенческими объединениями, объединени</w:t>
      </w:r>
      <w:r>
        <w:rPr>
          <w:rFonts w:eastAsia="Calibri"/>
        </w:rPr>
        <w:t>ями учащейся и работающей молодё</w:t>
      </w:r>
      <w:r w:rsidRPr="00506CCA">
        <w:rPr>
          <w:rFonts w:eastAsia="Calibri"/>
        </w:rPr>
        <w:t>жи в целях поддержки и продвижения выдвинутых ими общественно значимых инициатив.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E7297F" w:rsidRDefault="001D5E00" w:rsidP="001D5E00">
      <w:pPr>
        <w:jc w:val="center"/>
        <w:rPr>
          <w:b/>
        </w:rPr>
      </w:pPr>
      <w:r w:rsidRPr="00E7297F">
        <w:rPr>
          <w:b/>
        </w:rPr>
        <w:t>3. Состав Молодёжной палаты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3.1. Молодёжная палата создаё</w:t>
      </w:r>
      <w:r w:rsidRPr="00506CCA">
        <w:rPr>
          <w:rFonts w:eastAsia="Calibri"/>
        </w:rPr>
        <w:t>тся из числа граждан Российской Федерации в возрасте от 18 до 35 лет, относящихся к одной из указанных ниже категорий: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506CCA">
        <w:rPr>
          <w:rFonts w:eastAsia="Calibri"/>
        </w:rPr>
        <w:t>1) постоянно проживающие на территории Ненецкого автономного округа либо обучающиеся или работающие в Ненецком автономном округе;</w:t>
      </w:r>
      <w:proofErr w:type="gramEnd"/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2) окончившие образовательные организации общего образования, среднего профессионального образования на территории округа, и постоянно проживающие в Росс</w:t>
      </w:r>
      <w:r>
        <w:rPr>
          <w:rFonts w:eastAsia="Calibri"/>
        </w:rPr>
        <w:t xml:space="preserve">ийской Федерации за пределами </w:t>
      </w:r>
      <w:r w:rsidRPr="00506CCA">
        <w:rPr>
          <w:rFonts w:eastAsia="Calibri"/>
        </w:rPr>
        <w:t>Ненецкого автономного округа.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3.2. Членами Молодёжной палаты не могут быть лица: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1) на момент</w:t>
      </w:r>
      <w:r>
        <w:rPr>
          <w:rFonts w:eastAsia="Calibri"/>
        </w:rPr>
        <w:t xml:space="preserve"> назначения не соответствующие </w:t>
      </w:r>
      <w:r w:rsidRPr="00506CCA">
        <w:rPr>
          <w:rFonts w:eastAsia="Calibri"/>
        </w:rPr>
        <w:t>требованиям, установленным в пункте 3.1 настоящего Положения;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2) </w:t>
      </w:r>
      <w:proofErr w:type="gramStart"/>
      <w:r w:rsidRPr="00506CCA">
        <w:rPr>
          <w:rFonts w:eastAsia="Calibri"/>
        </w:rPr>
        <w:t>признанные</w:t>
      </w:r>
      <w:proofErr w:type="gramEnd"/>
      <w:r w:rsidRPr="00506CCA">
        <w:rPr>
          <w:rFonts w:eastAsia="Calibri"/>
        </w:rPr>
        <w:t xml:space="preserve"> судом недееспособными или ограниченно дееспособными;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3) </w:t>
      </w:r>
      <w:proofErr w:type="gramStart"/>
      <w:r w:rsidRPr="00506CCA">
        <w:rPr>
          <w:rFonts w:eastAsia="Calibri"/>
        </w:rPr>
        <w:t>имеющие</w:t>
      </w:r>
      <w:proofErr w:type="gramEnd"/>
      <w:r w:rsidRPr="00506CCA">
        <w:rPr>
          <w:rFonts w:eastAsia="Calibri"/>
        </w:rPr>
        <w:t xml:space="preserve"> неснятую или непогашенную судимость.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3.3. Член Молодёжной палаты по достижении им возраста 35 лет</w:t>
      </w:r>
      <w:r>
        <w:rPr>
          <w:rFonts w:eastAsia="Calibri"/>
        </w:rPr>
        <w:t xml:space="preserve"> осуществляет свои полномочия </w:t>
      </w:r>
      <w:r w:rsidRPr="00506CCA">
        <w:rPr>
          <w:rFonts w:eastAsia="Calibri"/>
        </w:rPr>
        <w:t>до истечения срока полномочий того состава Молодёжной пала</w:t>
      </w:r>
      <w:r>
        <w:rPr>
          <w:rFonts w:eastAsia="Calibri"/>
        </w:rPr>
        <w:t>ты, в который он был назначен.</w:t>
      </w:r>
    </w:p>
    <w:p w:rsidR="001D5E00" w:rsidRPr="00020D64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</w:rPr>
      </w:pPr>
      <w:r w:rsidRPr="00020D64">
        <w:rPr>
          <w:rFonts w:eastAsia="Calibri"/>
          <w:spacing w:val="-4"/>
        </w:rPr>
        <w:t xml:space="preserve">3.4. Члены Молодёжной палаты назначаются в состав Молодёжной палаты </w:t>
      </w:r>
      <w:r w:rsidR="00495713">
        <w:rPr>
          <w:rFonts w:eastAsia="Calibri"/>
          <w:spacing w:val="-4"/>
        </w:rPr>
        <w:t>распоряжением председателя</w:t>
      </w:r>
      <w:r w:rsidRPr="00020D64">
        <w:rPr>
          <w:rFonts w:eastAsia="Calibri"/>
          <w:spacing w:val="-4"/>
        </w:rPr>
        <w:t xml:space="preserve"> Собрания</w:t>
      </w:r>
      <w:r>
        <w:rPr>
          <w:rFonts w:eastAsia="Calibri"/>
          <w:spacing w:val="-4"/>
        </w:rPr>
        <w:t xml:space="preserve"> депутатов</w:t>
      </w:r>
      <w:r w:rsidR="00495713">
        <w:rPr>
          <w:rFonts w:eastAsia="Calibri"/>
          <w:spacing w:val="-4"/>
        </w:rPr>
        <w:t xml:space="preserve"> после предварительного обсуждения Палатой законодательных предположений</w:t>
      </w:r>
      <w:r w:rsidRPr="00020D64">
        <w:rPr>
          <w:rFonts w:eastAsia="Calibri"/>
          <w:spacing w:val="-4"/>
        </w:rPr>
        <w:t xml:space="preserve"> сроком на два года из числа кандидатов, представленных в Собрание</w:t>
      </w:r>
      <w:r>
        <w:rPr>
          <w:rFonts w:eastAsia="Calibri"/>
          <w:spacing w:val="-4"/>
        </w:rPr>
        <w:t xml:space="preserve"> депутатов</w:t>
      </w:r>
      <w:r w:rsidRPr="00020D64">
        <w:rPr>
          <w:rFonts w:eastAsia="Calibri"/>
          <w:spacing w:val="-4"/>
        </w:rPr>
        <w:t xml:space="preserve"> в порядке, установленном настоящим Положением.</w:t>
      </w:r>
    </w:p>
    <w:p w:rsidR="001D5E00" w:rsidRPr="009B5E8F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5E8F">
        <w:rPr>
          <w:rFonts w:eastAsia="Calibri"/>
        </w:rPr>
        <w:t xml:space="preserve">Полномочия членов Молодёжной палаты прекращаются в день вступления в силу </w:t>
      </w:r>
      <w:r w:rsidR="00682718">
        <w:rPr>
          <w:rFonts w:eastAsia="Calibri"/>
        </w:rPr>
        <w:t>распоряжения председателя</w:t>
      </w:r>
      <w:r w:rsidRPr="009B5E8F">
        <w:rPr>
          <w:rFonts w:eastAsia="Calibri"/>
        </w:rPr>
        <w:t xml:space="preserve"> Собрания</w:t>
      </w:r>
      <w:r>
        <w:rPr>
          <w:rFonts w:eastAsia="Calibri"/>
        </w:rPr>
        <w:t xml:space="preserve"> депутатов</w:t>
      </w:r>
      <w:r w:rsidRPr="009B5E8F">
        <w:rPr>
          <w:rFonts w:eastAsia="Calibri"/>
        </w:rPr>
        <w:t xml:space="preserve"> о формировании Молодёжной палаты в новом составе.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3.5. Количество членов Молодё</w:t>
      </w:r>
      <w:r w:rsidRPr="00506CCA">
        <w:rPr>
          <w:rFonts w:eastAsia="Calibri"/>
        </w:rPr>
        <w:t>жной палаты не может превышать 15 человек.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E7297F" w:rsidRDefault="001D5E00" w:rsidP="001D5E00">
      <w:pPr>
        <w:jc w:val="center"/>
        <w:rPr>
          <w:b/>
        </w:rPr>
      </w:pPr>
      <w:r w:rsidRPr="00E7297F">
        <w:rPr>
          <w:b/>
        </w:rPr>
        <w:t>4. Порядок формирования Молодёжной палаты</w:t>
      </w:r>
    </w:p>
    <w:p w:rsidR="001D5E00" w:rsidRPr="00020D64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4.1. Субъектом права внесения кандидатур для назначения в состав Молодёжной палаты являются: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1) молодё</w:t>
      </w:r>
      <w:r w:rsidRPr="00506CCA">
        <w:rPr>
          <w:rFonts w:eastAsia="Calibri"/>
        </w:rPr>
        <w:t>жные консультативно-совещательные структуры при представительных органах муниципальных образований округа;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2) общественные объединения, которые насчитывают не менее 30 членов либо не реже одного раза в год проводят мероприятие, предусматривающее предоставление </w:t>
      </w:r>
      <w:r w:rsidRPr="00506CCA">
        <w:rPr>
          <w:rFonts w:eastAsia="Calibri"/>
        </w:rPr>
        <w:lastRenderedPageBreak/>
        <w:t>социальных услуг не менее чем 40 молодым гражданам, действующие на территории округа не меньше одного года со дня государственной регистрации;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3) образовательные организации высшего или среднего профессионального образования, осуществляющие деятельность на территории округа;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профсоюзные организации;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5) исполнительный орган государственной власти Ненецкого автономного округа, уполномоченн</w:t>
      </w:r>
      <w:r>
        <w:rPr>
          <w:rFonts w:eastAsia="Calibri"/>
        </w:rPr>
        <w:t>ый в сфере образования и молодё</w:t>
      </w:r>
      <w:r w:rsidRPr="00506CCA">
        <w:rPr>
          <w:rFonts w:eastAsia="Calibri"/>
        </w:rPr>
        <w:t>жной политики.</w:t>
      </w:r>
    </w:p>
    <w:p w:rsidR="001D5E00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4.2. Гражданин Российской Федерации, отвечающий требованиям, ус</w:t>
      </w:r>
      <w:r>
        <w:rPr>
          <w:rFonts w:eastAsia="Calibri"/>
        </w:rPr>
        <w:t xml:space="preserve">тановленным пунктами 3.1 и 3.2 </w:t>
      </w:r>
      <w:r w:rsidRPr="00506CCA">
        <w:rPr>
          <w:rFonts w:eastAsia="Calibri"/>
        </w:rPr>
        <w:t>настоящего Положения, собравший в поддержку своей кандидатуры не менее 30 подписей, вправе самостоятельно выдвинуть свою кандидатуру для назначения в состав Молодёжной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В поддержку выдвижения кандидата в порядке, установле</w:t>
      </w:r>
      <w:r>
        <w:rPr>
          <w:rFonts w:eastAsia="Calibri"/>
        </w:rPr>
        <w:t xml:space="preserve">нном настоящим пунктом, вправе </w:t>
      </w:r>
      <w:r w:rsidRPr="00506CCA">
        <w:rPr>
          <w:rFonts w:eastAsia="Calibri"/>
        </w:rPr>
        <w:t>поставить подпись граждане Российской Фе</w:t>
      </w:r>
      <w:r>
        <w:rPr>
          <w:rFonts w:eastAsia="Calibri"/>
        </w:rPr>
        <w:t xml:space="preserve">дерации, постоянно проживающие </w:t>
      </w:r>
      <w:r w:rsidRPr="00506CCA">
        <w:rPr>
          <w:rFonts w:eastAsia="Calibri"/>
        </w:rPr>
        <w:t>в Ненецком автономном округе, в возрасте от 18 до 35 лет.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4.3. В состав Молодё</w:t>
      </w:r>
      <w:r w:rsidRPr="00506CCA">
        <w:rPr>
          <w:rFonts w:eastAsia="Calibri"/>
        </w:rPr>
        <w:t>жной палаты может быть назначено не более одного представителя от каждого субъекта права внесения кандидатур.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4.4. При внесении кандидата для назначения в состав Молодёжной палаты субъекты права внесения кандидатур, указанные в пункте 4.1 настоящего Положения (далее – организации), представляют в Собрание депутатов следующие документы: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1) решение уполномоченного органа организации либо протокол собрания коллектива организации о внесении кандидатуры для назначения в состав Молодёжной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Pr="00506CCA">
        <w:rPr>
          <w:rFonts w:eastAsia="Calibri"/>
        </w:rPr>
        <w:t>копию учредительных документов организации, заверенную её руководителем (его заместителем);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3) заявление кандидата о согласии на выдвижение его кандид</w:t>
      </w:r>
      <w:r>
        <w:rPr>
          <w:rFonts w:eastAsia="Calibri"/>
        </w:rPr>
        <w:t xml:space="preserve">атуры, по форме, установленной </w:t>
      </w:r>
      <w:r w:rsidRPr="00506CCA">
        <w:rPr>
          <w:rFonts w:eastAsia="Calibri"/>
        </w:rPr>
        <w:t>в Приложении 1 к настоящему Положению;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копию паспорта кандидата;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5) копии документов</w:t>
      </w:r>
      <w:r>
        <w:rPr>
          <w:rFonts w:eastAsia="Calibri"/>
        </w:rPr>
        <w:t xml:space="preserve">, подтверждающих соответствие кандидата </w:t>
      </w:r>
      <w:r w:rsidRPr="00506CCA">
        <w:rPr>
          <w:rFonts w:eastAsia="Calibri"/>
        </w:rPr>
        <w:t>требованиям, установленным в пункте 3.1 настоящего Положения;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6) характеристику кандидата, отражающую общественную деятельность кандидата и его активную гражданскую позицию;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7) предложения кандидата в сфер</w:t>
      </w:r>
      <w:r>
        <w:rPr>
          <w:rFonts w:eastAsia="Calibri"/>
        </w:rPr>
        <w:t xml:space="preserve">е совершенствования молодёжной политики </w:t>
      </w:r>
      <w:r w:rsidRPr="00506CCA">
        <w:rPr>
          <w:rFonts w:eastAsia="Calibri"/>
        </w:rPr>
        <w:t>в округе, которые должны содержать обоснование необходимости их принятия, а также возможный прогноз социально-экономических последствий их реализации (объёмом не более 3 страниц, размер шрифта 12);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506CCA">
        <w:rPr>
          <w:rFonts w:eastAsia="Calibri"/>
        </w:rPr>
        <w:t>8) информацию о количестве членов общественного объединения, а также о проведённых данным общественным объединением за последние 12 месяцев мероприятиях, предусматривающих предоставление социальных услуг не менее чем 40 молодым гражданам (для организаций, указанных в подпункте 2 пункта 4.1 настоящего Положения).</w:t>
      </w:r>
      <w:proofErr w:type="gramEnd"/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4.5. При внесении своей кандидатуры в порядке, указанном в пункте 4.2 настоящего Положения, кандидаты представляют в Собрание депутатов следующие документы: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1) заявление кандидата о выдвижении своей канди</w:t>
      </w:r>
      <w:r>
        <w:rPr>
          <w:rFonts w:eastAsia="Calibri"/>
        </w:rPr>
        <w:t>датуры, по форме, установленной</w:t>
      </w:r>
      <w:r w:rsidRPr="00506CCA">
        <w:rPr>
          <w:rFonts w:eastAsia="Calibri"/>
        </w:rPr>
        <w:t xml:space="preserve"> в Приложении 2 к настоящему Положению;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2) копию паспорта кандидата;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3) копии документов, подтверждающих соответствие кандидата требованиям, установленным в пункте 3.1 настоящего Положения;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рекомендацию, отражающую общественную деятел</w:t>
      </w:r>
      <w:r>
        <w:rPr>
          <w:rFonts w:eastAsia="Calibri"/>
        </w:rPr>
        <w:t>ьность кандидата и его активную</w:t>
      </w:r>
      <w:r w:rsidRPr="00506CCA">
        <w:rPr>
          <w:rFonts w:eastAsia="Calibri"/>
        </w:rPr>
        <w:t xml:space="preserve"> гражданскую позицию;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5) предложения кандидата в сфе</w:t>
      </w:r>
      <w:r>
        <w:rPr>
          <w:rFonts w:eastAsia="Calibri"/>
        </w:rPr>
        <w:t xml:space="preserve">ре совершенствования молодёжной политики </w:t>
      </w:r>
      <w:r w:rsidRPr="00506CCA">
        <w:rPr>
          <w:rFonts w:eastAsia="Calibri"/>
        </w:rPr>
        <w:t xml:space="preserve">в округе, которые должны содержать обоснование необходимости их принятия, а также </w:t>
      </w:r>
      <w:r w:rsidRPr="00506CCA">
        <w:rPr>
          <w:rFonts w:eastAsia="Calibri"/>
        </w:rPr>
        <w:lastRenderedPageBreak/>
        <w:t>возможный прогноз социально-экономических последствий их реализации (объёмом не более 3 страниц, размер шрифта 12);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6) подписной лист по форме, установленной в Приложении 3 к настоящему Положению, содержащий не менее 30 и не более 50 п</w:t>
      </w:r>
      <w:r>
        <w:rPr>
          <w:rFonts w:eastAsia="Calibri"/>
        </w:rPr>
        <w:t>одписей в поддержку назначения кандидатуры</w:t>
      </w:r>
      <w:r w:rsidRPr="00506CCA">
        <w:rPr>
          <w:rFonts w:eastAsia="Calibri"/>
        </w:rPr>
        <w:t xml:space="preserve"> кандид</w:t>
      </w:r>
      <w:r>
        <w:rPr>
          <w:rFonts w:eastAsia="Calibri"/>
        </w:rPr>
        <w:t>ата в состав Молодё</w:t>
      </w:r>
      <w:r w:rsidRPr="00506CCA">
        <w:rPr>
          <w:rFonts w:eastAsia="Calibri"/>
        </w:rPr>
        <w:t>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4.6. Информация о ср</w:t>
      </w:r>
      <w:r>
        <w:rPr>
          <w:rFonts w:eastAsia="Calibri"/>
        </w:rPr>
        <w:t xml:space="preserve">оке выдвижения кандидатур для </w:t>
      </w:r>
      <w:r w:rsidRPr="00506CCA">
        <w:rPr>
          <w:rFonts w:eastAsia="Calibri"/>
        </w:rPr>
        <w:t>назнач</w:t>
      </w:r>
      <w:r>
        <w:rPr>
          <w:rFonts w:eastAsia="Calibri"/>
        </w:rPr>
        <w:t>ения в состав Молодёжной палаты</w:t>
      </w:r>
      <w:r w:rsidRPr="00506CCA">
        <w:rPr>
          <w:rFonts w:eastAsia="Calibri"/>
        </w:rPr>
        <w:t xml:space="preserve"> публикуется</w:t>
      </w:r>
      <w:r>
        <w:rPr>
          <w:rFonts w:eastAsia="Calibri"/>
        </w:rPr>
        <w:t xml:space="preserve"> Собранием депутатов в </w:t>
      </w:r>
      <w:r w:rsidRPr="00506CCA">
        <w:rPr>
          <w:rFonts w:eastAsia="Calibri"/>
        </w:rPr>
        <w:t>средствах массовой информации и (или) размещается на официальном сайте Собрания</w:t>
      </w:r>
      <w:r>
        <w:rPr>
          <w:rFonts w:eastAsia="Calibri"/>
        </w:rPr>
        <w:t xml:space="preserve"> депутатов</w:t>
      </w:r>
      <w:r w:rsidRPr="00506CCA">
        <w:rPr>
          <w:rFonts w:eastAsia="Calibri"/>
        </w:rPr>
        <w:t xml:space="preserve"> в информационно-телекоммуникационной сети «Интерне</w:t>
      </w:r>
      <w:r>
        <w:rPr>
          <w:rFonts w:eastAsia="Calibri"/>
        </w:rPr>
        <w:t xml:space="preserve">т» не </w:t>
      </w:r>
      <w:proofErr w:type="gramStart"/>
      <w:r>
        <w:rPr>
          <w:rFonts w:eastAsia="Calibri"/>
        </w:rPr>
        <w:t>позднее</w:t>
      </w:r>
      <w:proofErr w:type="gramEnd"/>
      <w:r>
        <w:rPr>
          <w:rFonts w:eastAsia="Calibri"/>
        </w:rPr>
        <w:t xml:space="preserve"> чем за 2 месяца </w:t>
      </w:r>
      <w:r w:rsidRPr="00506CCA">
        <w:rPr>
          <w:rFonts w:eastAsia="Calibri"/>
        </w:rPr>
        <w:t>до окончания срока</w:t>
      </w:r>
      <w:r>
        <w:rPr>
          <w:rFonts w:eastAsia="Calibri"/>
        </w:rPr>
        <w:t xml:space="preserve"> полномочий действующего</w:t>
      </w:r>
      <w:r w:rsidRPr="00506CCA">
        <w:rPr>
          <w:rFonts w:eastAsia="Calibri"/>
        </w:rPr>
        <w:t xml:space="preserve"> состава Молодёжной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Срок выдвижения кандидатур, предусмотренный настоящим пунктом, не может быть менее 30 календарных</w:t>
      </w:r>
      <w:r>
        <w:rPr>
          <w:rFonts w:eastAsia="Calibri"/>
        </w:rPr>
        <w:t xml:space="preserve"> </w:t>
      </w:r>
      <w:r w:rsidRPr="00506CCA">
        <w:rPr>
          <w:rFonts w:eastAsia="Calibri"/>
        </w:rPr>
        <w:t>дней со дня опубликования (размещения) соответствующей информации.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4.7. Для предварительного рассмотрения материалов, указанных в пунктах 4.2 и 4.3 настоящего Положения, решением палаты законодательных пр</w:t>
      </w:r>
      <w:r>
        <w:rPr>
          <w:rFonts w:eastAsia="Calibri"/>
        </w:rPr>
        <w:t xml:space="preserve">едположений Собрания депутатов </w:t>
      </w:r>
      <w:r w:rsidRPr="00506CCA">
        <w:rPr>
          <w:rFonts w:eastAsia="Calibri"/>
        </w:rPr>
        <w:t>формируется рабочая группа из числа депутатов Собрания</w:t>
      </w:r>
      <w:r>
        <w:rPr>
          <w:rFonts w:eastAsia="Calibri"/>
        </w:rPr>
        <w:t xml:space="preserve"> депутатов</w:t>
      </w:r>
      <w:r w:rsidRPr="00506CCA">
        <w:rPr>
          <w:rFonts w:eastAsia="Calibri"/>
        </w:rPr>
        <w:t xml:space="preserve"> в к</w:t>
      </w:r>
      <w:r>
        <w:rPr>
          <w:rFonts w:eastAsia="Calibri"/>
        </w:rPr>
        <w:t>оличестве не менее 4-х человек.</w:t>
      </w:r>
    </w:p>
    <w:p w:rsidR="001D5E00" w:rsidRPr="001B7F3E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B7F3E">
        <w:rPr>
          <w:rFonts w:eastAsia="Calibri"/>
        </w:rPr>
        <w:t>По решению рабочей группы в её заседаниях могут принимать участие представители Молодёжной палаты, исполнительного органа государственной власти Ненецкого автономного округа, уполномоченного в сфере образования и молодёжной политики, Общественной палаты Ненецкого автономного округа, общественных организаций.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По результатам рассмотрения материалов рабочая группа рекомендует для назначения в состав Молодёжной палаты не более 15 кандидатов из числа внесённых</w:t>
      </w:r>
      <w:r>
        <w:rPr>
          <w:rFonts w:eastAsia="Calibri"/>
        </w:rPr>
        <w:t xml:space="preserve"> </w:t>
      </w:r>
      <w:r w:rsidRPr="00506CCA">
        <w:rPr>
          <w:rFonts w:eastAsia="Calibri"/>
        </w:rPr>
        <w:t>кандидатур большинством голосов от числа присутствующих на заседании</w:t>
      </w:r>
      <w:r>
        <w:rPr>
          <w:rFonts w:eastAsia="Calibri"/>
        </w:rPr>
        <w:t xml:space="preserve"> членов рабочей группы,</w:t>
      </w:r>
      <w:r w:rsidRPr="00506CCA">
        <w:rPr>
          <w:rFonts w:eastAsia="Calibri"/>
        </w:rPr>
        <w:t xml:space="preserve"> для включения в резерв Молодёжной палаты</w:t>
      </w:r>
      <w:r>
        <w:rPr>
          <w:rFonts w:eastAsia="Calibri"/>
        </w:rPr>
        <w:t xml:space="preserve"> –</w:t>
      </w:r>
      <w:r w:rsidRPr="00506CCA">
        <w:rPr>
          <w:rFonts w:eastAsia="Calibri"/>
        </w:rPr>
        <w:t xml:space="preserve"> не более 10 кандидатов из числа внесённых кандидатур.</w:t>
      </w:r>
    </w:p>
    <w:p w:rsidR="001D5E00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Решение рабочей группы носит рекомендательный характер.</w:t>
      </w:r>
    </w:p>
    <w:p w:rsidR="003C038C" w:rsidRPr="00506CCA" w:rsidRDefault="003C038C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Материалы рабочей группы передаются на рассмотрение Палаты законодательных предположений с последующим оформлением решения о назначении членов Молодёжной палаты и формировании резерва Молодёжной палаты распоряжением председателя Собрания депутатов.</w:t>
      </w:r>
    </w:p>
    <w:p w:rsidR="001D5E00" w:rsidRPr="001B7F3E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B7F3E">
        <w:rPr>
          <w:rFonts w:eastAsia="Calibri"/>
        </w:rPr>
        <w:t xml:space="preserve">4.8. В случае досрочного прекращения полномочий члена Молодёжной палаты </w:t>
      </w:r>
      <w:r w:rsidR="009E0690">
        <w:rPr>
          <w:rFonts w:eastAsia="Calibri"/>
        </w:rPr>
        <w:t>председатель Собрания</w:t>
      </w:r>
      <w:r w:rsidRPr="001B7F3E">
        <w:rPr>
          <w:rFonts w:eastAsia="Calibri"/>
        </w:rPr>
        <w:t xml:space="preserve"> депутатов назначает в состав Молодёжной палаты гражданина из числа кандидатов, </w:t>
      </w:r>
      <w:r w:rsidR="009E0690">
        <w:rPr>
          <w:rFonts w:eastAsia="Calibri"/>
        </w:rPr>
        <w:t>включённых</w:t>
      </w:r>
      <w:r w:rsidRPr="001B7F3E">
        <w:rPr>
          <w:rFonts w:eastAsia="Calibri"/>
        </w:rPr>
        <w:t xml:space="preserve"> в резерв Молодёжной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E7297F" w:rsidRDefault="001D5E00" w:rsidP="001D5E00">
      <w:pPr>
        <w:jc w:val="center"/>
        <w:rPr>
          <w:b/>
        </w:rPr>
      </w:pPr>
      <w:r w:rsidRPr="00E7297F">
        <w:rPr>
          <w:b/>
        </w:rPr>
        <w:t>5. Права и обязанности членов Молод</w:t>
      </w:r>
      <w:r>
        <w:rPr>
          <w:b/>
        </w:rPr>
        <w:t>ё</w:t>
      </w:r>
      <w:r w:rsidRPr="00E7297F">
        <w:rPr>
          <w:b/>
        </w:rPr>
        <w:t>жной палаты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5.1. Член Молодё</w:t>
      </w:r>
      <w:r w:rsidRPr="00506CCA">
        <w:rPr>
          <w:rFonts w:eastAsia="Calibri"/>
        </w:rPr>
        <w:t>жной палаты имеет право: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1) избирать и быть избранным на любые должности и</w:t>
      </w:r>
      <w:r>
        <w:rPr>
          <w:rFonts w:eastAsia="Calibri"/>
        </w:rPr>
        <w:t xml:space="preserve"> в состав рабочих органов Молодё</w:t>
      </w:r>
      <w:r w:rsidRPr="00506CCA">
        <w:rPr>
          <w:rFonts w:eastAsia="Calibri"/>
        </w:rPr>
        <w:t>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2)</w:t>
      </w:r>
      <w:r>
        <w:rPr>
          <w:rFonts w:eastAsia="Calibri"/>
        </w:rPr>
        <w:t xml:space="preserve"> вносить для рассмотрения Молодё</w:t>
      </w:r>
      <w:r w:rsidRPr="00506CCA">
        <w:rPr>
          <w:rFonts w:eastAsia="Calibri"/>
        </w:rPr>
        <w:t>жной палатой вопросы, относ</w:t>
      </w:r>
      <w:r>
        <w:rPr>
          <w:rFonts w:eastAsia="Calibri"/>
        </w:rPr>
        <w:t>ящиеся к её</w:t>
      </w:r>
      <w:r w:rsidRPr="00506CCA">
        <w:rPr>
          <w:rFonts w:eastAsia="Calibri"/>
        </w:rPr>
        <w:t xml:space="preserve"> деятельности;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3) участвовать в обсуждении и принят</w:t>
      </w:r>
      <w:r>
        <w:rPr>
          <w:rFonts w:eastAsia="Calibri"/>
        </w:rPr>
        <w:t>ии решений Молодёжной палаты, её</w:t>
      </w:r>
      <w:r w:rsidRPr="00506CCA">
        <w:rPr>
          <w:rFonts w:eastAsia="Calibri"/>
        </w:rPr>
        <w:t xml:space="preserve"> рабочих органов;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принимать участие в</w:t>
      </w:r>
      <w:r>
        <w:rPr>
          <w:rFonts w:eastAsia="Calibri"/>
        </w:rPr>
        <w:t xml:space="preserve"> мероприятиях, проводимых Молодё</w:t>
      </w:r>
      <w:r w:rsidRPr="00506CCA">
        <w:rPr>
          <w:rFonts w:eastAsia="Calibri"/>
        </w:rPr>
        <w:t>жной палатой;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5) получать и распространять </w:t>
      </w:r>
      <w:r>
        <w:rPr>
          <w:rFonts w:eastAsia="Calibri"/>
        </w:rPr>
        <w:t>информацию о деятельности Молодё</w:t>
      </w:r>
      <w:r w:rsidRPr="00506CCA">
        <w:rPr>
          <w:rFonts w:eastAsia="Calibri"/>
        </w:rPr>
        <w:t>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6) знакомиться с документами Собрания депутатов, о</w:t>
      </w:r>
      <w:r>
        <w:rPr>
          <w:rFonts w:eastAsia="Calibri"/>
        </w:rPr>
        <w:t>тносящимися к компетенции Молодё</w:t>
      </w:r>
      <w:r w:rsidRPr="00506CCA">
        <w:rPr>
          <w:rFonts w:eastAsia="Calibri"/>
        </w:rPr>
        <w:t>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7) выйти из состава Молодё</w:t>
      </w:r>
      <w:r w:rsidRPr="00506CCA">
        <w:rPr>
          <w:rFonts w:eastAsia="Calibri"/>
        </w:rPr>
        <w:t>жной палаты, подав заявление об этом;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 xml:space="preserve">8) обращаться по любым вопросам, </w:t>
      </w:r>
      <w:r>
        <w:rPr>
          <w:rFonts w:eastAsia="Calibri"/>
        </w:rPr>
        <w:t>связанным с деятельностью Молодё</w:t>
      </w:r>
      <w:r w:rsidRPr="00506CCA">
        <w:rPr>
          <w:rFonts w:eastAsia="Calibri"/>
        </w:rPr>
        <w:t>жной палаты, к руководящим лицам М</w:t>
      </w:r>
      <w:r>
        <w:rPr>
          <w:rFonts w:eastAsia="Calibri"/>
        </w:rPr>
        <w:t>олодё</w:t>
      </w:r>
      <w:r w:rsidRPr="00506CCA">
        <w:rPr>
          <w:rFonts w:eastAsia="Calibri"/>
        </w:rPr>
        <w:t>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5.2. Член Молодё</w:t>
      </w:r>
      <w:r w:rsidRPr="00506CCA">
        <w:rPr>
          <w:rFonts w:eastAsia="Calibri"/>
        </w:rPr>
        <w:t>жной палаты обязан: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1) участвовать в работе Молодёжной палаты, её</w:t>
      </w:r>
      <w:r w:rsidRPr="00506CCA">
        <w:rPr>
          <w:rFonts w:eastAsia="Calibri"/>
        </w:rPr>
        <w:t xml:space="preserve"> рабочих органов, членом которых он является;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2) участвовать в</w:t>
      </w:r>
      <w:r>
        <w:rPr>
          <w:rFonts w:eastAsia="Calibri"/>
        </w:rPr>
        <w:t xml:space="preserve"> реализации целей и задач Молодё</w:t>
      </w:r>
      <w:r w:rsidRPr="00506CCA">
        <w:rPr>
          <w:rFonts w:eastAsia="Calibri"/>
        </w:rPr>
        <w:t>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3) выполнять решения Молодёжной палаты и её</w:t>
      </w:r>
      <w:r w:rsidRPr="00506CCA">
        <w:rPr>
          <w:rFonts w:eastAsia="Calibri"/>
        </w:rPr>
        <w:t xml:space="preserve"> органов;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4) соблюдать нормы этики;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5) содейство</w:t>
      </w:r>
      <w:r>
        <w:rPr>
          <w:rFonts w:eastAsia="Calibri"/>
        </w:rPr>
        <w:t>вать повышению авторитета Молодё</w:t>
      </w:r>
      <w:r w:rsidRPr="00506CCA">
        <w:rPr>
          <w:rFonts w:eastAsia="Calibri"/>
        </w:rPr>
        <w:t>жной палаты;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6) не допускать действий, наносящих ущерб деятельн</w:t>
      </w:r>
      <w:r>
        <w:rPr>
          <w:rFonts w:eastAsia="Calibri"/>
        </w:rPr>
        <w:t>ости и законным интересам Молодёжной палаты и её</w:t>
      </w:r>
      <w:r w:rsidRPr="00506CCA">
        <w:rPr>
          <w:rFonts w:eastAsia="Calibri"/>
        </w:rPr>
        <w:t xml:space="preserve"> членов, Собрания депутатов и его депутатов, сотрудников аппарата Собрания депутатов;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7) соблюдать настоя</w:t>
      </w:r>
      <w:r>
        <w:rPr>
          <w:rFonts w:eastAsia="Calibri"/>
        </w:rPr>
        <w:t>щее Положение и Регламент Молодё</w:t>
      </w:r>
      <w:r w:rsidRPr="00506CCA">
        <w:rPr>
          <w:rFonts w:eastAsia="Calibri"/>
        </w:rPr>
        <w:t>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E7297F" w:rsidRDefault="001D5E00" w:rsidP="001D5E00">
      <w:pPr>
        <w:jc w:val="center"/>
        <w:rPr>
          <w:b/>
        </w:rPr>
      </w:pPr>
      <w:r w:rsidRPr="00E7297F">
        <w:rPr>
          <w:b/>
        </w:rPr>
        <w:t>6. Организация работы Молод</w:t>
      </w:r>
      <w:r>
        <w:rPr>
          <w:b/>
        </w:rPr>
        <w:t>ё</w:t>
      </w:r>
      <w:r w:rsidRPr="00E7297F">
        <w:rPr>
          <w:b/>
        </w:rPr>
        <w:t>жной палаты</w:t>
      </w:r>
    </w:p>
    <w:p w:rsidR="001D5E00" w:rsidRPr="00A95357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95357">
        <w:rPr>
          <w:rFonts w:eastAsia="Calibri"/>
        </w:rPr>
        <w:t xml:space="preserve">6.1. Основной формой работы Молодёжной палаты являются заседания, на которых решаются вопросы, отнесённые к её ведению. </w:t>
      </w:r>
      <w:r w:rsidRPr="00506CCA">
        <w:rPr>
          <w:rFonts w:eastAsia="Calibri"/>
        </w:rPr>
        <w:t>Заседани</w:t>
      </w:r>
      <w:r>
        <w:rPr>
          <w:rFonts w:eastAsia="Calibri"/>
        </w:rPr>
        <w:t>я Молодё</w:t>
      </w:r>
      <w:r w:rsidRPr="00506CCA">
        <w:rPr>
          <w:rFonts w:eastAsia="Calibri"/>
        </w:rPr>
        <w:t>жной палаты проводятся по мере необходимости, но не реже одного раза в три месяца.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6.2. Структу</w:t>
      </w:r>
      <w:r>
        <w:rPr>
          <w:rFonts w:eastAsia="Calibri"/>
        </w:rPr>
        <w:t>ра и порядок деятельности Молодё</w:t>
      </w:r>
      <w:r w:rsidRPr="00506CCA">
        <w:rPr>
          <w:rFonts w:eastAsia="Calibri"/>
        </w:rPr>
        <w:t>жной палаты</w:t>
      </w:r>
      <w:r>
        <w:rPr>
          <w:rFonts w:eastAsia="Calibri"/>
        </w:rPr>
        <w:t xml:space="preserve"> определяются Регламентом Молодё</w:t>
      </w:r>
      <w:r w:rsidRPr="00506CCA">
        <w:rPr>
          <w:rFonts w:eastAsia="Calibri"/>
        </w:rPr>
        <w:t xml:space="preserve">жной палаты (далее </w:t>
      </w:r>
      <w:r>
        <w:rPr>
          <w:rFonts w:eastAsia="Calibri"/>
        </w:rPr>
        <w:t>–</w:t>
      </w:r>
      <w:r w:rsidRPr="00506CCA">
        <w:rPr>
          <w:rFonts w:eastAsia="Calibri"/>
        </w:rPr>
        <w:t xml:space="preserve"> Регла</w:t>
      </w:r>
      <w:r>
        <w:rPr>
          <w:rFonts w:eastAsia="Calibri"/>
        </w:rPr>
        <w:t>мент палаты), принимаемым Молодё</w:t>
      </w:r>
      <w:r w:rsidRPr="00506CCA">
        <w:rPr>
          <w:rFonts w:eastAsia="Calibri"/>
        </w:rPr>
        <w:t>жной палатой.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6.3. О</w:t>
      </w:r>
      <w:r>
        <w:rPr>
          <w:rFonts w:eastAsia="Calibri"/>
        </w:rPr>
        <w:t>чередные заседания Молодё</w:t>
      </w:r>
      <w:r w:rsidRPr="00506CCA">
        <w:rPr>
          <w:rFonts w:eastAsia="Calibri"/>
        </w:rPr>
        <w:t>жной палаты проводятся в сроки и в порядке, определ</w:t>
      </w:r>
      <w:r>
        <w:rPr>
          <w:rFonts w:eastAsia="Calibri"/>
        </w:rPr>
        <w:t>ё</w:t>
      </w:r>
      <w:r w:rsidRPr="00506CCA">
        <w:rPr>
          <w:rFonts w:eastAsia="Calibri"/>
        </w:rPr>
        <w:t>нные Регламентом палаты. Внеочередные заседания проводятся по решению председателя Молод</w:t>
      </w:r>
      <w:r>
        <w:rPr>
          <w:rFonts w:eastAsia="Calibri"/>
        </w:rPr>
        <w:t>ё</w:t>
      </w:r>
      <w:r w:rsidRPr="00506CCA">
        <w:rPr>
          <w:rFonts w:eastAsia="Calibri"/>
        </w:rPr>
        <w:t xml:space="preserve">жной палаты, а также по предложению председателя Собрания депутатов либо его заместителя, по предложению не </w:t>
      </w:r>
      <w:r>
        <w:rPr>
          <w:rFonts w:eastAsia="Calibri"/>
        </w:rPr>
        <w:t>менее чем половины членов Молодё</w:t>
      </w:r>
      <w:r w:rsidRPr="00506CCA">
        <w:rPr>
          <w:rFonts w:eastAsia="Calibri"/>
        </w:rPr>
        <w:t>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Заседания Молодёжной палаты могут проводиться путём заочного голосования членов по вопросам, выносимым на рассмотрение Молодёжной палаты</w:t>
      </w:r>
      <w:r>
        <w:rPr>
          <w:rFonts w:eastAsia="Calibri"/>
        </w:rPr>
        <w:t>. Решение о проведении заочного заседания</w:t>
      </w:r>
      <w:r w:rsidRPr="00506CCA">
        <w:rPr>
          <w:rFonts w:eastAsia="Calibri"/>
        </w:rPr>
        <w:t xml:space="preserve"> Молодёжной палаты принимается председателем Молодё</w:t>
      </w:r>
      <w:r>
        <w:rPr>
          <w:rFonts w:eastAsia="Calibri"/>
        </w:rPr>
        <w:t>жной палаты. Порядок проведения заочного</w:t>
      </w:r>
      <w:r w:rsidRPr="00506CCA">
        <w:rPr>
          <w:rFonts w:eastAsia="Calibri"/>
        </w:rPr>
        <w:t xml:space="preserve"> заседания Молодёжной палаты устанавлива</w:t>
      </w:r>
      <w:r>
        <w:rPr>
          <w:rFonts w:eastAsia="Calibri"/>
        </w:rPr>
        <w:t>ется Регламентом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6.4. Очное заседание Молодё</w:t>
      </w:r>
      <w:r w:rsidRPr="00506CCA">
        <w:rPr>
          <w:rFonts w:eastAsia="Calibri"/>
        </w:rPr>
        <w:t xml:space="preserve">жной палаты считается правомочным, если в его работе принимают участие не менее </w:t>
      </w:r>
      <w:r>
        <w:rPr>
          <w:rFonts w:eastAsia="Calibri"/>
        </w:rPr>
        <w:t>половины членов Молодёжной палаты. В работе Молодё</w:t>
      </w:r>
      <w:r w:rsidRPr="00506CCA">
        <w:rPr>
          <w:rFonts w:eastAsia="Calibri"/>
        </w:rPr>
        <w:t>жной палаты могут принимать участие депутаты Собрания депутатов (с правом совещательного голоса).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6.5. Очное заседание Молодё</w:t>
      </w:r>
      <w:r w:rsidRPr="00506CCA">
        <w:rPr>
          <w:rFonts w:eastAsia="Calibri"/>
        </w:rPr>
        <w:t>жной пал</w:t>
      </w:r>
      <w:r>
        <w:rPr>
          <w:rFonts w:eastAsia="Calibri"/>
        </w:rPr>
        <w:t>аты проводит председатель Молодё</w:t>
      </w:r>
      <w:r w:rsidRPr="00506CCA">
        <w:rPr>
          <w:rFonts w:eastAsia="Calibri"/>
        </w:rPr>
        <w:t xml:space="preserve">жной палаты, а в его отсутствие </w:t>
      </w:r>
      <w:r>
        <w:rPr>
          <w:rFonts w:eastAsia="Calibri"/>
        </w:rPr>
        <w:t>–</w:t>
      </w:r>
      <w:r w:rsidRPr="00506CCA">
        <w:rPr>
          <w:rFonts w:eastAsia="Calibri"/>
        </w:rPr>
        <w:t xml:space="preserve"> замести</w:t>
      </w:r>
      <w:r>
        <w:rPr>
          <w:rFonts w:eastAsia="Calibri"/>
        </w:rPr>
        <w:t>тель председателя Молодё</w:t>
      </w:r>
      <w:r w:rsidRPr="00506CCA">
        <w:rPr>
          <w:rFonts w:eastAsia="Calibri"/>
        </w:rPr>
        <w:t>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Почётным председателем Молодё</w:t>
      </w:r>
      <w:r w:rsidRPr="00506CCA">
        <w:rPr>
          <w:rFonts w:eastAsia="Calibri"/>
        </w:rPr>
        <w:t>жной палаты является председатель Собрания депутатов.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95357">
        <w:rPr>
          <w:rFonts w:eastAsia="Calibri"/>
        </w:rPr>
        <w:t>6.6.</w:t>
      </w:r>
      <w:r>
        <w:rPr>
          <w:rFonts w:eastAsia="Calibri"/>
        </w:rPr>
        <w:t xml:space="preserve"> Председатель Молодё</w:t>
      </w:r>
      <w:r w:rsidRPr="00506CCA">
        <w:rPr>
          <w:rFonts w:eastAsia="Calibri"/>
        </w:rPr>
        <w:t>жной</w:t>
      </w:r>
      <w:r>
        <w:rPr>
          <w:rFonts w:eastAsia="Calibri"/>
        </w:rPr>
        <w:t xml:space="preserve"> палаты руководит работой Молодёжной палаты и представляет её</w:t>
      </w:r>
      <w:r w:rsidRPr="00506CCA">
        <w:rPr>
          <w:rFonts w:eastAsia="Calibri"/>
        </w:rPr>
        <w:t xml:space="preserve"> в органах государственной власти Ненецкого автономного округа и органах местного самоуправления муниципальных образований Ненецкого автономного округа, а также в отношени</w:t>
      </w:r>
      <w:r>
        <w:rPr>
          <w:rFonts w:eastAsia="Calibri"/>
        </w:rPr>
        <w:t>ях с организациями и гражданами.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Председатель Молодё</w:t>
      </w:r>
      <w:r w:rsidRPr="00506CCA">
        <w:rPr>
          <w:rFonts w:eastAsia="Calibri"/>
        </w:rPr>
        <w:t>жной палаты может иметь одного или нескольких заместителей. Заместитель (</w:t>
      </w:r>
      <w:r>
        <w:rPr>
          <w:rFonts w:eastAsia="Calibri"/>
        </w:rPr>
        <w:t>заместители) председателя Молодё</w:t>
      </w:r>
      <w:r w:rsidRPr="00506CCA">
        <w:rPr>
          <w:rFonts w:eastAsia="Calibri"/>
        </w:rPr>
        <w:t>жной палаты выполняет обязанности, делегированны</w:t>
      </w:r>
      <w:r>
        <w:rPr>
          <w:rFonts w:eastAsia="Calibri"/>
        </w:rPr>
        <w:t>е ему (им) председателем Молодё</w:t>
      </w:r>
      <w:r w:rsidRPr="00506CCA">
        <w:rPr>
          <w:rFonts w:eastAsia="Calibri"/>
        </w:rPr>
        <w:t>жной палаты или М</w:t>
      </w:r>
      <w:r>
        <w:rPr>
          <w:rFonts w:eastAsia="Calibri"/>
        </w:rPr>
        <w:t>олодёжной палатой. Секретарь Молодё</w:t>
      </w:r>
      <w:r w:rsidRPr="00506CCA">
        <w:rPr>
          <w:rFonts w:eastAsia="Calibri"/>
        </w:rPr>
        <w:t>жной палаты осуществляет организационное</w:t>
      </w:r>
      <w:r>
        <w:rPr>
          <w:rFonts w:eastAsia="Calibri"/>
        </w:rPr>
        <w:t xml:space="preserve"> обеспечение деятельности Молодёжной палаты, её</w:t>
      </w:r>
      <w:r w:rsidRPr="00506CCA">
        <w:rPr>
          <w:rFonts w:eastAsia="Calibri"/>
        </w:rPr>
        <w:t xml:space="preserve"> органов. Права и обязанности председателя, заместителя (заместителей)</w:t>
      </w:r>
      <w:r>
        <w:rPr>
          <w:rFonts w:eastAsia="Calibri"/>
        </w:rPr>
        <w:t xml:space="preserve"> председателя и секретаря Молодё</w:t>
      </w:r>
      <w:r w:rsidRPr="00506CCA">
        <w:rPr>
          <w:rFonts w:eastAsia="Calibri"/>
        </w:rPr>
        <w:t>жной палаты определяются Регламентом палаты.</w:t>
      </w:r>
    </w:p>
    <w:p w:rsidR="001D5E00" w:rsidRPr="00A95357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95357">
        <w:rPr>
          <w:rFonts w:eastAsia="Calibri"/>
        </w:rPr>
        <w:t>6.7. Молодёжная палата нового созыва собирается на своё первое заседание не позднее чем через месяц после утверждения её состава.</w:t>
      </w:r>
    </w:p>
    <w:p w:rsidR="001D5E00" w:rsidRPr="00A95357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95357">
        <w:rPr>
          <w:rFonts w:eastAsia="Calibri"/>
        </w:rPr>
        <w:lastRenderedPageBreak/>
        <w:t>Первое очное заседание Молодёжной палаты нового созыва открывает председатель Собрания депутатов либо его заместитель.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На первом заседании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</w:t>
      </w:r>
      <w:r>
        <w:rPr>
          <w:rFonts w:eastAsia="Calibri"/>
        </w:rPr>
        <w:t>алаты нового состава из числа её членов избираются путё</w:t>
      </w:r>
      <w:r w:rsidRPr="00506CCA">
        <w:rPr>
          <w:rFonts w:eastAsia="Calibri"/>
        </w:rPr>
        <w:t>м открытого голосования председатель Мол</w:t>
      </w:r>
      <w:r>
        <w:rPr>
          <w:rFonts w:eastAsia="Calibri"/>
        </w:rPr>
        <w:t>одёжной палаты, секретарь Молодё</w:t>
      </w:r>
      <w:r w:rsidRPr="00506CCA">
        <w:rPr>
          <w:rFonts w:eastAsia="Calibri"/>
        </w:rPr>
        <w:t>жной палаты и заместитель (</w:t>
      </w:r>
      <w:r>
        <w:rPr>
          <w:rFonts w:eastAsia="Calibri"/>
        </w:rPr>
        <w:t>заместители) председателя Молодё</w:t>
      </w:r>
      <w:r w:rsidRPr="00506CCA">
        <w:rPr>
          <w:rFonts w:eastAsia="Calibri"/>
        </w:rPr>
        <w:t xml:space="preserve">жной палаты, количество которых </w:t>
      </w:r>
      <w:r>
        <w:rPr>
          <w:rFonts w:eastAsia="Calibri"/>
        </w:rPr>
        <w:t>определяется на заседании Молодё</w:t>
      </w:r>
      <w:r w:rsidRPr="00506CCA">
        <w:rPr>
          <w:rFonts w:eastAsia="Calibri"/>
        </w:rPr>
        <w:t xml:space="preserve">жной палаты. Члены </w:t>
      </w:r>
      <w:r>
        <w:rPr>
          <w:rFonts w:eastAsia="Calibri"/>
        </w:rPr>
        <w:t>Молодё</w:t>
      </w:r>
      <w:r w:rsidRPr="00506CCA">
        <w:rPr>
          <w:rFonts w:eastAsia="Calibri"/>
        </w:rPr>
        <w:t xml:space="preserve">жной палаты могут голосовать только за одну кандидатуру из числа кандидатур, выдвинутых на замещение </w:t>
      </w:r>
      <w:r>
        <w:rPr>
          <w:rFonts w:eastAsia="Calibri"/>
        </w:rPr>
        <w:t>каждой из указанных должностей.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Председатель, заместитель (заместители) председателя, секретар</w:t>
      </w:r>
      <w:r>
        <w:rPr>
          <w:rFonts w:eastAsia="Calibri"/>
        </w:rPr>
        <w:t>ь Молодё</w:t>
      </w:r>
      <w:r w:rsidRPr="00506CCA">
        <w:rPr>
          <w:rFonts w:eastAsia="Calibri"/>
        </w:rPr>
        <w:t>жной палаты считаются избранными, если за них проголосовало более половины от общего числа членов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палаты. Избрание председателя, заместителя (заместителей) председателя, секретаря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</w:t>
      </w:r>
      <w:r>
        <w:rPr>
          <w:rFonts w:eastAsia="Calibri"/>
        </w:rPr>
        <w:t>латы оформляется решением Молодё</w:t>
      </w:r>
      <w:r w:rsidRPr="00506CCA">
        <w:rPr>
          <w:rFonts w:eastAsia="Calibri"/>
        </w:rPr>
        <w:t>жной палаты</w:t>
      </w:r>
      <w:r>
        <w:rPr>
          <w:rFonts w:eastAsia="Calibri"/>
        </w:rPr>
        <w:t>.</w:t>
      </w:r>
    </w:p>
    <w:p w:rsidR="001D5E00" w:rsidRPr="00A95357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95357">
        <w:rPr>
          <w:rFonts w:eastAsia="Calibri"/>
        </w:rPr>
        <w:t>6.8. Срок полномочий председателя Молодёжной палаты, его заместителя (заместителей), секретаря Молодёжной палаты определяется Регламентом Молодёжной палаты и не может превышать срока полномочий Молодёжной палаты.</w:t>
      </w:r>
    </w:p>
    <w:p w:rsidR="001D5E00" w:rsidRPr="00A95357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В случае досрочного прекращения полномочий председателя, заместителя (заместителей) председателя, секретаря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 новые выборы проводят</w:t>
      </w:r>
      <w:r>
        <w:rPr>
          <w:rFonts w:eastAsia="Calibri"/>
        </w:rPr>
        <w:t>ся на ближайшем заседании Молодё</w:t>
      </w:r>
      <w:r w:rsidRPr="00506CCA">
        <w:rPr>
          <w:rFonts w:eastAsia="Calibri"/>
        </w:rPr>
        <w:t>жной палаты.</w:t>
      </w:r>
    </w:p>
    <w:p w:rsidR="001D5E00" w:rsidRPr="00A95357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95357">
        <w:rPr>
          <w:rFonts w:eastAsia="Calibri"/>
        </w:rPr>
        <w:t>6.9. Заседания Молодёжной палаты проводятся открыто.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6.10. По основным направлениям работы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 в е</w:t>
      </w:r>
      <w:r>
        <w:rPr>
          <w:rFonts w:eastAsia="Calibri"/>
        </w:rPr>
        <w:t>ё</w:t>
      </w:r>
      <w:r w:rsidRPr="00506CCA">
        <w:rPr>
          <w:rFonts w:eastAsia="Calibri"/>
        </w:rPr>
        <w:t xml:space="preserve"> составе могут образовываться постоянные или временные рабочие органы (группы, комитеты, комиссии, секции). По отдельным вопросам своей деятельности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жная палата может проводить заседания отдельных рабочих органов, непосредственно занимающихся решением этих вопросов.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6.1</w:t>
      </w:r>
      <w:r>
        <w:rPr>
          <w:rFonts w:eastAsia="Calibri"/>
        </w:rPr>
        <w:t>1. Решения (рекомендации) Молодё</w:t>
      </w:r>
      <w:r w:rsidRPr="00506CCA">
        <w:rPr>
          <w:rFonts w:eastAsia="Calibri"/>
        </w:rPr>
        <w:t>жной палаты считаются принятыми, если за них проголосовало более половины участвующих в заседании членов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палаты. Мнение меньшинства по рассмотренному вопросу фиксируется, если оно под</w:t>
      </w:r>
      <w:r>
        <w:rPr>
          <w:rFonts w:eastAsia="Calibri"/>
        </w:rPr>
        <w:t>держано не менее чем одной четвё</w:t>
      </w:r>
      <w:r w:rsidRPr="00506CCA">
        <w:rPr>
          <w:rFonts w:eastAsia="Calibri"/>
        </w:rPr>
        <w:t>ртой от числа присутствующих.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6.1</w:t>
      </w:r>
      <w:r>
        <w:rPr>
          <w:rFonts w:eastAsia="Calibri"/>
        </w:rPr>
        <w:t>2. Решения (рекомендации) Молодё</w:t>
      </w:r>
      <w:r w:rsidRPr="00506CCA">
        <w:rPr>
          <w:rFonts w:eastAsia="Calibri"/>
        </w:rPr>
        <w:t>жной палаты доводятся до сведения органов государственной власти Ненецкого автономного округа, органов местного самоуправления муниципальных образований Ненецкого автономного округа по вопросам их компетенции и носят рекомендательный характер.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6.13. Повестка д</w:t>
      </w:r>
      <w:r>
        <w:rPr>
          <w:rFonts w:eastAsia="Calibri"/>
        </w:rPr>
        <w:t>ня заседания определяется Молодё</w:t>
      </w:r>
      <w:r w:rsidRPr="00506CCA">
        <w:rPr>
          <w:rFonts w:eastAsia="Calibri"/>
        </w:rPr>
        <w:t>ж</w:t>
      </w:r>
      <w:r>
        <w:rPr>
          <w:rFonts w:eastAsia="Calibri"/>
        </w:rPr>
        <w:t>ной палатой самостоятельно с учё</w:t>
      </w:r>
      <w:r w:rsidRPr="00506CCA">
        <w:rPr>
          <w:rFonts w:eastAsia="Calibri"/>
        </w:rPr>
        <w:t>том вопросов, выдвинутых на рассмотрение Собранием депутатов и его депутатами, рабочими о</w:t>
      </w:r>
      <w:r>
        <w:rPr>
          <w:rFonts w:eastAsia="Calibri"/>
        </w:rPr>
        <w:t>рганами Молодё</w:t>
      </w:r>
      <w:r w:rsidRPr="00506CCA">
        <w:rPr>
          <w:rFonts w:eastAsia="Calibri"/>
        </w:rPr>
        <w:t>жной палаты.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E7297F" w:rsidRDefault="001D5E00" w:rsidP="001D5E00">
      <w:pPr>
        <w:jc w:val="center"/>
        <w:rPr>
          <w:b/>
        </w:rPr>
      </w:pPr>
      <w:r w:rsidRPr="00E7297F">
        <w:rPr>
          <w:b/>
        </w:rPr>
        <w:t>7. Обеспечение деятельности Молод</w:t>
      </w:r>
      <w:r>
        <w:rPr>
          <w:b/>
        </w:rPr>
        <w:t>ё</w:t>
      </w:r>
      <w:r w:rsidRPr="00E7297F">
        <w:rPr>
          <w:b/>
        </w:rPr>
        <w:t>жной палаты</w:t>
      </w:r>
    </w:p>
    <w:p w:rsidR="001D5E00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Par114"/>
      <w:bookmarkEnd w:id="0"/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7.1. Материально-техническое, информационное, методическое и организационное обеспечение деятельности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 осуществляется аппаратом Собрания депутатов.</w:t>
      </w: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F4265">
        <w:rPr>
          <w:rFonts w:eastAsia="Calibri"/>
        </w:rPr>
        <w:t>7.2. Расходы, связанные с осуществлением деятельности членов Молодёжной палаты, возмещаются за счёт средств, предусмотренных на содержание Собрания депутатов, в размерах и порядке, установленных распоряжением председателя Собрания депутатов. К указанным расходам относятся расходы, связанные с проездом члена Молодёжной палаты к месту проведения мероприятия, связанного с осуществлением полномочий Молодёжной палаты (в том числе конференций, семинаров, совещаний, съездов, слётов, заседаний, конгрессов, форумов), и обратно, а также с проживанием в месте проведения мероприятия, в месте стыковки транспорта (при необходимости). Указанные расходы возмещаются только при наличии  подтверждающих документов.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lastRenderedPageBreak/>
        <w:t>Возмещение расходов, указанных в абзаце первом настояще</w:t>
      </w:r>
      <w:r>
        <w:rPr>
          <w:rFonts w:eastAsia="Calibri"/>
        </w:rPr>
        <w:t>го</w:t>
      </w:r>
      <w:r w:rsidRPr="00506CCA">
        <w:rPr>
          <w:rFonts w:eastAsia="Calibri"/>
        </w:rPr>
        <w:t xml:space="preserve"> </w:t>
      </w:r>
      <w:r>
        <w:rPr>
          <w:rFonts w:eastAsia="Calibri"/>
        </w:rPr>
        <w:t>пункта</w:t>
      </w:r>
      <w:r w:rsidRPr="00506CCA">
        <w:rPr>
          <w:rFonts w:eastAsia="Calibri"/>
        </w:rPr>
        <w:t>, осуществляется на основании ходатайства председателя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палаты, согласованного с руководителем аппарата Собрания депутатов, на имя председателя Собрания депутатов.</w:t>
      </w:r>
    </w:p>
    <w:p w:rsidR="001D5E00" w:rsidRPr="00506CCA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CCA">
        <w:rPr>
          <w:rFonts w:eastAsia="Calibri"/>
        </w:rPr>
        <w:t>7.3. Дополнительное финансирование деятельности Молод</w:t>
      </w:r>
      <w:r>
        <w:rPr>
          <w:rFonts w:eastAsia="Calibri"/>
        </w:rPr>
        <w:t>ё</w:t>
      </w:r>
      <w:r w:rsidRPr="00506CCA">
        <w:rPr>
          <w:rFonts w:eastAsia="Calibri"/>
        </w:rPr>
        <w:t>жной палаты допускается за сч</w:t>
      </w:r>
      <w:r>
        <w:rPr>
          <w:rFonts w:eastAsia="Calibri"/>
        </w:rPr>
        <w:t>ё</w:t>
      </w:r>
      <w:r w:rsidRPr="00506CCA">
        <w:rPr>
          <w:rFonts w:eastAsia="Calibri"/>
        </w:rPr>
        <w:t>т источников средств, не запрещ</w:t>
      </w:r>
      <w:r>
        <w:rPr>
          <w:rFonts w:eastAsia="Calibri"/>
        </w:rPr>
        <w:t>ё</w:t>
      </w:r>
      <w:r w:rsidRPr="00506CCA">
        <w:rPr>
          <w:rFonts w:eastAsia="Calibri"/>
        </w:rPr>
        <w:t>нных действующим законодательством.</w:t>
      </w: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Default="001D5E00" w:rsidP="001D5E00">
      <w:pPr>
        <w:jc w:val="center"/>
      </w:pPr>
      <w:r w:rsidRPr="00DD599D">
        <w:t>_____________</w:t>
      </w:r>
    </w:p>
    <w:p w:rsidR="001D5E00" w:rsidRPr="00656253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br w:type="page"/>
      </w:r>
      <w:r w:rsidRPr="00656253">
        <w:rPr>
          <w:bCs/>
        </w:rPr>
        <w:lastRenderedPageBreak/>
        <w:t>Приложение 1</w:t>
      </w:r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656253">
        <w:rPr>
          <w:bCs/>
        </w:rPr>
        <w:t xml:space="preserve">к </w:t>
      </w:r>
      <w:r w:rsidRPr="008E6E0B">
        <w:rPr>
          <w:bCs/>
        </w:rPr>
        <w:t>Положени</w:t>
      </w:r>
      <w:r>
        <w:rPr>
          <w:bCs/>
        </w:rPr>
        <w:t xml:space="preserve">ю об </w:t>
      </w:r>
      <w:proofErr w:type="gramStart"/>
      <w:r>
        <w:rPr>
          <w:bCs/>
        </w:rPr>
        <w:t>Общественной</w:t>
      </w:r>
      <w:proofErr w:type="gramEnd"/>
      <w:r>
        <w:rPr>
          <w:bCs/>
        </w:rPr>
        <w:t xml:space="preserve"> молодёжной</w:t>
      </w:r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палате при Собрании депутатов </w:t>
      </w:r>
      <w:proofErr w:type="gramStart"/>
      <w:r>
        <w:rPr>
          <w:bCs/>
        </w:rPr>
        <w:t>Ненецкого</w:t>
      </w:r>
      <w:proofErr w:type="gramEnd"/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автономного </w:t>
      </w:r>
      <w:r w:rsidRPr="008E6E0B">
        <w:rPr>
          <w:bCs/>
        </w:rPr>
        <w:t>округа</w:t>
      </w:r>
      <w:r>
        <w:rPr>
          <w:bCs/>
        </w:rPr>
        <w:t xml:space="preserve">, </w:t>
      </w:r>
      <w:proofErr w:type="gramStart"/>
      <w:r>
        <w:rPr>
          <w:bCs/>
        </w:rPr>
        <w:t>утверждённому</w:t>
      </w:r>
      <w:proofErr w:type="gramEnd"/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постановлением </w:t>
      </w:r>
      <w:r w:rsidRPr="00EF6CF9">
        <w:rPr>
          <w:bCs/>
        </w:rPr>
        <w:t>Собрания</w:t>
      </w:r>
      <w:r>
        <w:rPr>
          <w:bCs/>
        </w:rPr>
        <w:t xml:space="preserve"> </w:t>
      </w:r>
      <w:r w:rsidRPr="00EF6CF9">
        <w:rPr>
          <w:bCs/>
        </w:rPr>
        <w:t>депутатов</w:t>
      </w:r>
    </w:p>
    <w:p w:rsidR="001D5E00" w:rsidRPr="00EF6CF9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EF6CF9">
        <w:rPr>
          <w:bCs/>
        </w:rPr>
        <w:t>Ненецкого автономного округа</w:t>
      </w:r>
    </w:p>
    <w:p w:rsidR="001D5E00" w:rsidRPr="00EF6CF9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EF6CF9">
        <w:rPr>
          <w:bCs/>
        </w:rPr>
        <w:t>от 30 июня 2016 года № 193-сд</w:t>
      </w:r>
    </w:p>
    <w:p w:rsidR="001D5E00" w:rsidRDefault="001D5E00" w:rsidP="001D5E00">
      <w:pPr>
        <w:pStyle w:val="ConsTitle"/>
        <w:widowControl/>
        <w:autoSpaceDE/>
        <w:autoSpaceDN/>
        <w:adjustRightInd/>
        <w:spacing w:before="600"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Cs w:val="0"/>
          <w:snapToGrid w:val="0"/>
          <w:sz w:val="28"/>
          <w:szCs w:val="28"/>
        </w:rPr>
        <w:t>Заявление</w:t>
      </w:r>
    </w:p>
    <w:p w:rsidR="001D5E00" w:rsidRPr="00164A73" w:rsidRDefault="001D5E00" w:rsidP="001D5E00">
      <w:pPr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164A73">
        <w:rPr>
          <w:b/>
          <w:snapToGrid w:val="0"/>
          <w:sz w:val="28"/>
          <w:szCs w:val="28"/>
        </w:rPr>
        <w:t>кандидата о согласии на выдвижение его кандидатуры</w:t>
      </w:r>
    </w:p>
    <w:p w:rsidR="001D5E00" w:rsidRPr="00164A73" w:rsidRDefault="001D5E00" w:rsidP="001D5E00">
      <w:pPr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164A73">
        <w:rPr>
          <w:b/>
          <w:snapToGrid w:val="0"/>
          <w:sz w:val="28"/>
          <w:szCs w:val="28"/>
        </w:rPr>
        <w:t>для назначения в состав</w:t>
      </w:r>
      <w:r>
        <w:rPr>
          <w:b/>
          <w:snapToGrid w:val="0"/>
          <w:sz w:val="28"/>
          <w:szCs w:val="28"/>
        </w:rPr>
        <w:t xml:space="preserve"> Общественной молодёжной палаты</w:t>
      </w:r>
    </w:p>
    <w:p w:rsidR="001D5E00" w:rsidRPr="00164A73" w:rsidRDefault="001D5E00" w:rsidP="001D5E00">
      <w:pPr>
        <w:pStyle w:val="ConsTitle"/>
        <w:widowControl/>
        <w:autoSpaceDE/>
        <w:autoSpaceDN/>
        <w:adjustRightInd/>
        <w:spacing w:after="800"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 w:rsidRPr="00164A73">
        <w:rPr>
          <w:rFonts w:ascii="Times New Roman" w:hAnsi="Times New Roman" w:cs="Times New Roman"/>
          <w:bCs w:val="0"/>
          <w:snapToGrid w:val="0"/>
          <w:sz w:val="28"/>
          <w:szCs w:val="28"/>
        </w:rPr>
        <w:t>при Собрании депутатов Ненецкого автономного округа</w:t>
      </w:r>
    </w:p>
    <w:p w:rsidR="001D5E00" w:rsidRPr="00506CCA" w:rsidRDefault="001D5E00" w:rsidP="001D5E00">
      <w:pPr>
        <w:jc w:val="center"/>
        <w:rPr>
          <w:rFonts w:eastAsia="Calibri"/>
          <w:lang w:eastAsia="en-US"/>
        </w:rPr>
      </w:pPr>
      <w:r w:rsidRPr="00506CCA">
        <w:rPr>
          <w:rFonts w:eastAsia="Calibri"/>
          <w:lang w:eastAsia="en-US"/>
        </w:rPr>
        <w:t>___________________________________________________________________________</w:t>
      </w:r>
    </w:p>
    <w:p w:rsidR="001D5E00" w:rsidRPr="008D1A9C" w:rsidRDefault="001D5E00" w:rsidP="001D5E00">
      <w:pPr>
        <w:jc w:val="center"/>
        <w:rPr>
          <w:rFonts w:eastAsia="Calibri"/>
          <w:i/>
          <w:iCs/>
          <w:sz w:val="20"/>
          <w:szCs w:val="20"/>
          <w:lang w:eastAsia="en-US"/>
        </w:rPr>
      </w:pPr>
      <w:r w:rsidRPr="008D1A9C">
        <w:rPr>
          <w:rFonts w:eastAsia="Calibri"/>
          <w:i/>
          <w:iCs/>
          <w:sz w:val="20"/>
          <w:szCs w:val="20"/>
          <w:lang w:eastAsia="en-US"/>
        </w:rPr>
        <w:t>(наименование организации, выдвигающей кандидата)</w:t>
      </w:r>
    </w:p>
    <w:p w:rsidR="001D5E00" w:rsidRPr="00164A73" w:rsidRDefault="001D5E00" w:rsidP="001D5E00">
      <w:pPr>
        <w:jc w:val="center"/>
        <w:rPr>
          <w:rFonts w:eastAsia="Calibri"/>
          <w:lang w:eastAsia="en-US"/>
        </w:rPr>
      </w:pPr>
    </w:p>
    <w:tbl>
      <w:tblPr>
        <w:tblW w:w="9243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170"/>
        <w:gridCol w:w="2497"/>
        <w:gridCol w:w="284"/>
        <w:gridCol w:w="1417"/>
        <w:gridCol w:w="197"/>
        <w:gridCol w:w="1559"/>
        <w:gridCol w:w="425"/>
        <w:gridCol w:w="1560"/>
        <w:gridCol w:w="76"/>
        <w:gridCol w:w="632"/>
        <w:gridCol w:w="171"/>
      </w:tblGrid>
      <w:tr w:rsidR="001D5E00" w:rsidRPr="00506CCA" w:rsidTr="005A3D9D">
        <w:trPr>
          <w:cantSplit/>
          <w:trHeight w:val="1100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Фамилия, имя,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отчество кандидата</w:t>
            </w:r>
          </w:p>
        </w:tc>
        <w:tc>
          <w:tcPr>
            <w:tcW w:w="6321" w:type="dxa"/>
            <w:gridSpan w:val="9"/>
          </w:tcPr>
          <w:p w:rsidR="001D5E00" w:rsidRPr="00D359D6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D359D6">
              <w:rPr>
                <w:rFonts w:eastAsia="Calibri"/>
                <w:lang w:eastAsia="en-US"/>
              </w:rPr>
              <w:t>Я, __________________________</w:t>
            </w:r>
            <w:r>
              <w:rPr>
                <w:rFonts w:eastAsia="Calibri"/>
                <w:lang w:eastAsia="en-US"/>
              </w:rPr>
              <w:t>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D359D6"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50B0F" w:rsidTr="005A3D9D">
        <w:trPr>
          <w:cantSplit/>
          <w:trHeight w:val="705"/>
          <w:jc w:val="center"/>
        </w:trPr>
        <w:tc>
          <w:tcPr>
            <w:tcW w:w="2922" w:type="dxa"/>
            <w:gridSpan w:val="3"/>
          </w:tcPr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Дата рождения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6CCA">
              <w:rPr>
                <w:rFonts w:eastAsia="Calibri"/>
                <w:lang w:eastAsia="en-US"/>
              </w:rPr>
              <w:t>кандидата</w:t>
            </w:r>
          </w:p>
        </w:tc>
        <w:tc>
          <w:tcPr>
            <w:tcW w:w="6321" w:type="dxa"/>
            <w:gridSpan w:val="9"/>
          </w:tcPr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</w:tc>
      </w:tr>
      <w:tr w:rsidR="001D5E00" w:rsidRPr="00506CCA" w:rsidTr="005A3D9D">
        <w:trPr>
          <w:cantSplit/>
          <w:trHeight w:val="2118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Документ,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506CCA">
              <w:rPr>
                <w:rFonts w:eastAsia="Calibri"/>
                <w:lang w:eastAsia="en-US"/>
              </w:rPr>
              <w:t>достоверяющий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личность кандидата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паспорт серия _________ номер _____________________</w:t>
            </w:r>
            <w:r>
              <w:rPr>
                <w:rFonts w:eastAsia="Calibri"/>
                <w:lang w:eastAsia="en-US"/>
              </w:rPr>
              <w:t>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выдан «___</w:t>
            </w:r>
            <w:r>
              <w:rPr>
                <w:rFonts w:eastAsia="Calibri"/>
                <w:lang w:eastAsia="en-US"/>
              </w:rPr>
              <w:t>_</w:t>
            </w:r>
            <w:r w:rsidRPr="00506CCA">
              <w:rPr>
                <w:rFonts w:eastAsia="Calibri"/>
                <w:lang w:eastAsia="en-US"/>
              </w:rPr>
              <w:t>» __________</w:t>
            </w:r>
            <w:r>
              <w:rPr>
                <w:rFonts w:eastAsia="Calibri"/>
                <w:lang w:eastAsia="en-US"/>
              </w:rPr>
              <w:t xml:space="preserve">____ ______ </w:t>
            </w:r>
            <w:proofErr w:type="gramStart"/>
            <w:r>
              <w:rPr>
                <w:rFonts w:eastAsia="Calibri"/>
                <w:lang w:eastAsia="en-US"/>
              </w:rPr>
              <w:t>г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1229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Адрес </w:t>
            </w:r>
            <w:proofErr w:type="gramStart"/>
            <w:r w:rsidRPr="00506CCA">
              <w:rPr>
                <w:rFonts w:eastAsia="Calibri"/>
                <w:lang w:eastAsia="en-US"/>
              </w:rPr>
              <w:t>постоянного</w:t>
            </w:r>
            <w:proofErr w:type="gramEnd"/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проживания кандидата</w:t>
            </w: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3569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Наименование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506CCA">
              <w:rPr>
                <w:rFonts w:eastAsia="Calibri"/>
                <w:lang w:eastAsia="en-US"/>
              </w:rPr>
              <w:t>бразовательной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организации,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расположенной на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территории округа, </w:t>
            </w:r>
            <w:proofErr w:type="gramStart"/>
            <w:r w:rsidRPr="00506CCA">
              <w:rPr>
                <w:rFonts w:eastAsia="Calibri"/>
                <w:lang w:eastAsia="en-US"/>
              </w:rPr>
              <w:t>в</w:t>
            </w:r>
            <w:proofErr w:type="gramEnd"/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которой обучался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кандидат, годы обучения</w:t>
            </w: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2258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lastRenderedPageBreak/>
              <w:t>Место уч</w:t>
            </w:r>
            <w:r>
              <w:rPr>
                <w:rFonts w:eastAsia="Calibri"/>
                <w:lang w:eastAsia="en-US"/>
              </w:rPr>
              <w:t>ё</w:t>
            </w:r>
            <w:r w:rsidRPr="00506CCA">
              <w:rPr>
                <w:rFonts w:eastAsia="Calibri"/>
                <w:lang w:eastAsia="en-US"/>
              </w:rPr>
              <w:t>бы (работы)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2184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Контактная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информация: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а) номер телефона:</w:t>
            </w:r>
          </w:p>
          <w:p w:rsidR="001D5E00" w:rsidRPr="001F4D29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б) </w:t>
            </w:r>
            <w:proofErr w:type="spellStart"/>
            <w:r w:rsidRPr="001F4D29">
              <w:rPr>
                <w:rFonts w:eastAsia="Calibri"/>
                <w:lang w:eastAsia="en-US"/>
              </w:rPr>
              <w:t>e-mail</w:t>
            </w:r>
            <w:proofErr w:type="spellEnd"/>
            <w:r w:rsidRPr="001F4D29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3E3176" w:rsidTr="005A3D9D">
        <w:trPr>
          <w:trHeight w:val="1625"/>
          <w:jc w:val="center"/>
        </w:trPr>
        <w:tc>
          <w:tcPr>
            <w:tcW w:w="9243" w:type="dxa"/>
            <w:gridSpan w:val="12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b/>
                <w:sz w:val="20"/>
                <w:szCs w:val="20"/>
                <w:lang w:eastAsia="en-US"/>
              </w:rPr>
              <w:t>Даю своё согласие на выдвижение моей кандидатуры для назначения в состав Общественной молодёжной палаты при Собрании депутатов Ненецкого автономного округа.</w:t>
            </w:r>
          </w:p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b/>
                <w:sz w:val="20"/>
                <w:szCs w:val="20"/>
                <w:lang w:eastAsia="en-US"/>
              </w:rPr>
              <w:t>Настоящим подтверждаю, что неснятой или непогашенной судимости не имею, являюсь дееспособным.</w:t>
            </w:r>
          </w:p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С учётом требований Федерального закона Российской Федерации от 27 июля 2006 года № 152-ФЗ «О персональных данных» даю своё согласие на обработку, передачу и распространение моих персональных данных (включая их получение от меня и/или от любых третьих лиц):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Цель обработки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Рассмотрение вопроса о назначении моей кандидатуры в состав Общественной молодёжной палаты при Собрании депутатов Ненецкого автономного округа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3E3176">
              <w:rPr>
                <w:rFonts w:eastAsia="Calibri"/>
                <w:sz w:val="20"/>
                <w:szCs w:val="20"/>
                <w:lang w:eastAsia="en-US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место работы и должность, номер телефона (в том числе мобильный), адрес электронной почты, а также иной информации, необходимой для рассмотрения моей кандидатуры в соответствии с Положением об Общественной молодёжной палате при Собрании депутатов Ненецкого автономного округа</w:t>
            </w:r>
            <w:proofErr w:type="gramEnd"/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Перечень действий с персональными данными, на совершение которых даётся согласие на обработку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3E3176">
              <w:rPr>
                <w:rFonts w:eastAsia="Calibri"/>
                <w:sz w:val="20"/>
                <w:szCs w:val="20"/>
                <w:lang w:eastAsia="en-US"/>
              </w:rPr>
              <w:t>Для совершения действий в отношении персональных данных, которые необходимы для достижения указанных выше целей, включая без ограничения: сбор, систематизацию, хранение, уточнение (обновление, изменение), использование (в том числе передача), обезличивание, блокирование, уничтожение с учётом действующего законодательства Российской Федерации</w:t>
            </w:r>
            <w:proofErr w:type="gramEnd"/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1D5E00" w:rsidRPr="00506CCA" w:rsidTr="005A3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ind w:left="-453" w:right="-235" w:firstLine="453"/>
              <w:rPr>
                <w:rFonts w:eastAsia="Calibri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lang w:eastAsia="en-US"/>
              </w:rPr>
            </w:pPr>
          </w:p>
        </w:tc>
      </w:tr>
      <w:tr w:rsidR="001D5E00" w:rsidRPr="008D1A9C" w:rsidTr="005A3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cantSplit/>
          <w:jc w:val="center"/>
        </w:trPr>
        <w:tc>
          <w:tcPr>
            <w:tcW w:w="4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D1A9C">
              <w:rPr>
                <w:rFonts w:eastAsia="Calibri"/>
                <w:i/>
                <w:sz w:val="20"/>
                <w:szCs w:val="20"/>
                <w:lang w:eastAsia="en-US"/>
              </w:rPr>
              <w:t>(Фамилия И.О. субъекта персональных данных)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D1A9C">
              <w:rPr>
                <w:rFonts w:eastAsia="Calibri"/>
                <w:i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righ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D1A9C">
              <w:rPr>
                <w:rFonts w:eastAsia="Calibri"/>
                <w:i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</w:tbl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Default="001D5E00" w:rsidP="001D5E00">
      <w:pPr>
        <w:jc w:val="center"/>
      </w:pPr>
      <w:r w:rsidRPr="00DD599D">
        <w:t>_____________</w:t>
      </w:r>
    </w:p>
    <w:p w:rsidR="001D5E00" w:rsidRPr="00656253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br w:type="page"/>
      </w:r>
      <w:r>
        <w:rPr>
          <w:bCs/>
        </w:rPr>
        <w:lastRenderedPageBreak/>
        <w:t>Приложение 2</w:t>
      </w:r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656253">
        <w:rPr>
          <w:bCs/>
        </w:rPr>
        <w:t xml:space="preserve">к </w:t>
      </w:r>
      <w:r w:rsidRPr="008E6E0B">
        <w:rPr>
          <w:bCs/>
        </w:rPr>
        <w:t>Положени</w:t>
      </w:r>
      <w:r>
        <w:rPr>
          <w:bCs/>
        </w:rPr>
        <w:t xml:space="preserve">ю об </w:t>
      </w:r>
      <w:proofErr w:type="gramStart"/>
      <w:r>
        <w:rPr>
          <w:bCs/>
        </w:rPr>
        <w:t>Общественной</w:t>
      </w:r>
      <w:proofErr w:type="gramEnd"/>
      <w:r>
        <w:rPr>
          <w:bCs/>
        </w:rPr>
        <w:t xml:space="preserve"> молодёжной</w:t>
      </w:r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палате при Собрании депутатов </w:t>
      </w:r>
      <w:proofErr w:type="gramStart"/>
      <w:r>
        <w:rPr>
          <w:bCs/>
        </w:rPr>
        <w:t>Ненецкого</w:t>
      </w:r>
      <w:proofErr w:type="gramEnd"/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автономного </w:t>
      </w:r>
      <w:r w:rsidRPr="008E6E0B">
        <w:rPr>
          <w:bCs/>
        </w:rPr>
        <w:t>округа</w:t>
      </w:r>
      <w:r>
        <w:rPr>
          <w:bCs/>
        </w:rPr>
        <w:t xml:space="preserve">, </w:t>
      </w:r>
      <w:proofErr w:type="gramStart"/>
      <w:r>
        <w:rPr>
          <w:bCs/>
        </w:rPr>
        <w:t>утверждённому</w:t>
      </w:r>
      <w:proofErr w:type="gramEnd"/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постановлением </w:t>
      </w:r>
      <w:r w:rsidRPr="00EF6CF9">
        <w:rPr>
          <w:bCs/>
        </w:rPr>
        <w:t>Собрания</w:t>
      </w:r>
      <w:r>
        <w:rPr>
          <w:bCs/>
        </w:rPr>
        <w:t xml:space="preserve"> </w:t>
      </w:r>
      <w:r w:rsidRPr="00EF6CF9">
        <w:rPr>
          <w:bCs/>
        </w:rPr>
        <w:t>депутатов</w:t>
      </w:r>
    </w:p>
    <w:p w:rsidR="001D5E00" w:rsidRPr="00EF6CF9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EF6CF9">
        <w:rPr>
          <w:bCs/>
        </w:rPr>
        <w:t>Ненецкого автономного округа</w:t>
      </w:r>
    </w:p>
    <w:p w:rsidR="001D5E00" w:rsidRPr="00EF6CF9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EF6CF9">
        <w:rPr>
          <w:bCs/>
        </w:rPr>
        <w:t>от 30 июня 2016 года № 193-сд</w:t>
      </w:r>
    </w:p>
    <w:p w:rsidR="001D5E00" w:rsidRPr="00A76BD1" w:rsidRDefault="001D5E00" w:rsidP="001D5E00">
      <w:pPr>
        <w:pStyle w:val="ConsTitle"/>
        <w:widowControl/>
        <w:autoSpaceDE/>
        <w:autoSpaceDN/>
        <w:adjustRightInd/>
        <w:spacing w:before="600"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 w:rsidRPr="00A76BD1">
        <w:rPr>
          <w:rFonts w:ascii="Times New Roman" w:hAnsi="Times New Roman" w:cs="Times New Roman"/>
          <w:bCs w:val="0"/>
          <w:snapToGrid w:val="0"/>
          <w:sz w:val="28"/>
          <w:szCs w:val="28"/>
        </w:rPr>
        <w:t>Заявление</w:t>
      </w:r>
    </w:p>
    <w:p w:rsidR="001D5E00" w:rsidRPr="00A76BD1" w:rsidRDefault="001D5E00" w:rsidP="001D5E00">
      <w:pPr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A76BD1">
        <w:rPr>
          <w:b/>
          <w:snapToGrid w:val="0"/>
          <w:sz w:val="28"/>
          <w:szCs w:val="28"/>
        </w:rPr>
        <w:t>кандидата о выдвижении</w:t>
      </w:r>
      <w:r>
        <w:rPr>
          <w:b/>
          <w:snapToGrid w:val="0"/>
          <w:sz w:val="28"/>
          <w:szCs w:val="28"/>
        </w:rPr>
        <w:t xml:space="preserve"> своей кандидатуры</w:t>
      </w:r>
    </w:p>
    <w:p w:rsidR="001D5E00" w:rsidRPr="00A76BD1" w:rsidRDefault="001D5E00" w:rsidP="001D5E00">
      <w:pPr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A76BD1">
        <w:rPr>
          <w:b/>
          <w:snapToGrid w:val="0"/>
          <w:sz w:val="28"/>
          <w:szCs w:val="28"/>
        </w:rPr>
        <w:t>для назначения в состав</w:t>
      </w:r>
      <w:r>
        <w:rPr>
          <w:b/>
          <w:snapToGrid w:val="0"/>
          <w:sz w:val="28"/>
          <w:szCs w:val="28"/>
        </w:rPr>
        <w:t xml:space="preserve"> Общественной молодёжной палаты</w:t>
      </w:r>
    </w:p>
    <w:p w:rsidR="001D5E00" w:rsidRPr="00A76BD1" w:rsidRDefault="001D5E00" w:rsidP="001D5E00">
      <w:pPr>
        <w:pStyle w:val="ConsTitle"/>
        <w:widowControl/>
        <w:autoSpaceDE/>
        <w:autoSpaceDN/>
        <w:adjustRightInd/>
        <w:spacing w:after="800"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 w:rsidRPr="00A76BD1">
        <w:rPr>
          <w:rFonts w:ascii="Times New Roman" w:hAnsi="Times New Roman" w:cs="Times New Roman"/>
          <w:bCs w:val="0"/>
          <w:snapToGrid w:val="0"/>
          <w:sz w:val="28"/>
          <w:szCs w:val="28"/>
        </w:rPr>
        <w:t>при Собрании депутатов Ненецкого автономного округа</w:t>
      </w:r>
    </w:p>
    <w:p w:rsidR="001D5E00" w:rsidRPr="00506CCA" w:rsidRDefault="001D5E00" w:rsidP="001D5E00">
      <w:pPr>
        <w:jc w:val="right"/>
        <w:rPr>
          <w:rFonts w:eastAsia="Calibri"/>
          <w:lang w:eastAsia="en-US"/>
        </w:rPr>
      </w:pPr>
      <w:r w:rsidRPr="00506CCA">
        <w:rPr>
          <w:rFonts w:eastAsia="Calibri"/>
          <w:lang w:eastAsia="en-US"/>
        </w:rPr>
        <w:t>В Собрание депутатов Ненецкого автономного округа</w:t>
      </w:r>
    </w:p>
    <w:p w:rsidR="001D5E00" w:rsidRPr="00164A73" w:rsidRDefault="001D5E00" w:rsidP="001D5E00">
      <w:pPr>
        <w:jc w:val="center"/>
        <w:rPr>
          <w:rFonts w:eastAsia="Calibri"/>
          <w:lang w:eastAsia="en-US"/>
        </w:rPr>
      </w:pPr>
    </w:p>
    <w:tbl>
      <w:tblPr>
        <w:tblW w:w="9243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170"/>
        <w:gridCol w:w="2497"/>
        <w:gridCol w:w="284"/>
        <w:gridCol w:w="1417"/>
        <w:gridCol w:w="197"/>
        <w:gridCol w:w="1559"/>
        <w:gridCol w:w="425"/>
        <w:gridCol w:w="1560"/>
        <w:gridCol w:w="76"/>
        <w:gridCol w:w="632"/>
        <w:gridCol w:w="171"/>
      </w:tblGrid>
      <w:tr w:rsidR="001D5E00" w:rsidRPr="00506CCA" w:rsidTr="005A3D9D">
        <w:trPr>
          <w:cantSplit/>
          <w:trHeight w:val="1100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Фамилия, имя,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отчество кандидата</w:t>
            </w:r>
          </w:p>
        </w:tc>
        <w:tc>
          <w:tcPr>
            <w:tcW w:w="6321" w:type="dxa"/>
            <w:gridSpan w:val="9"/>
          </w:tcPr>
          <w:p w:rsidR="001D5E00" w:rsidRPr="00D359D6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D359D6">
              <w:rPr>
                <w:rFonts w:eastAsia="Calibri"/>
                <w:lang w:eastAsia="en-US"/>
              </w:rPr>
              <w:t>Я, __________________________</w:t>
            </w:r>
            <w:r>
              <w:rPr>
                <w:rFonts w:eastAsia="Calibri"/>
                <w:lang w:eastAsia="en-US"/>
              </w:rPr>
              <w:t>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D359D6"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50B0F" w:rsidTr="005A3D9D">
        <w:trPr>
          <w:cantSplit/>
          <w:trHeight w:val="705"/>
          <w:jc w:val="center"/>
        </w:trPr>
        <w:tc>
          <w:tcPr>
            <w:tcW w:w="2922" w:type="dxa"/>
            <w:gridSpan w:val="3"/>
          </w:tcPr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Дата рождения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6CCA">
              <w:rPr>
                <w:rFonts w:eastAsia="Calibri"/>
                <w:lang w:eastAsia="en-US"/>
              </w:rPr>
              <w:t>кандидата</w:t>
            </w:r>
          </w:p>
        </w:tc>
        <w:tc>
          <w:tcPr>
            <w:tcW w:w="6321" w:type="dxa"/>
            <w:gridSpan w:val="9"/>
          </w:tcPr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</w:tc>
      </w:tr>
      <w:tr w:rsidR="001D5E00" w:rsidRPr="00506CCA" w:rsidTr="005A3D9D">
        <w:trPr>
          <w:cantSplit/>
          <w:trHeight w:val="2118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Документ,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506CCA">
              <w:rPr>
                <w:rFonts w:eastAsia="Calibri"/>
                <w:lang w:eastAsia="en-US"/>
              </w:rPr>
              <w:t>достоверяющий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личность кандидата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паспорт серия _________ номер _____________________</w:t>
            </w:r>
            <w:r>
              <w:rPr>
                <w:rFonts w:eastAsia="Calibri"/>
                <w:lang w:eastAsia="en-US"/>
              </w:rPr>
              <w:t>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выдан «___</w:t>
            </w:r>
            <w:r>
              <w:rPr>
                <w:rFonts w:eastAsia="Calibri"/>
                <w:lang w:eastAsia="en-US"/>
              </w:rPr>
              <w:t>_</w:t>
            </w:r>
            <w:r w:rsidRPr="00506CCA">
              <w:rPr>
                <w:rFonts w:eastAsia="Calibri"/>
                <w:lang w:eastAsia="en-US"/>
              </w:rPr>
              <w:t>» __________</w:t>
            </w:r>
            <w:r>
              <w:rPr>
                <w:rFonts w:eastAsia="Calibri"/>
                <w:lang w:eastAsia="en-US"/>
              </w:rPr>
              <w:t xml:space="preserve">____ ______ </w:t>
            </w:r>
            <w:proofErr w:type="gramStart"/>
            <w:r>
              <w:rPr>
                <w:rFonts w:eastAsia="Calibri"/>
                <w:lang w:eastAsia="en-US"/>
              </w:rPr>
              <w:t>г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1229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Адрес </w:t>
            </w:r>
            <w:proofErr w:type="gramStart"/>
            <w:r w:rsidRPr="00506CCA">
              <w:rPr>
                <w:rFonts w:eastAsia="Calibri"/>
                <w:lang w:eastAsia="en-US"/>
              </w:rPr>
              <w:t>постоянного</w:t>
            </w:r>
            <w:proofErr w:type="gramEnd"/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проживания кандидата</w:t>
            </w: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3569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Наименование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506CCA">
              <w:rPr>
                <w:rFonts w:eastAsia="Calibri"/>
                <w:lang w:eastAsia="en-US"/>
              </w:rPr>
              <w:t>бразовательной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организации,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расположенной на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территории округа, </w:t>
            </w:r>
            <w:proofErr w:type="gramStart"/>
            <w:r w:rsidRPr="00506CCA">
              <w:rPr>
                <w:rFonts w:eastAsia="Calibri"/>
                <w:lang w:eastAsia="en-US"/>
              </w:rPr>
              <w:t>в</w:t>
            </w:r>
            <w:proofErr w:type="gramEnd"/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которой обучался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кандидат, годы обучения</w:t>
            </w: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2258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lastRenderedPageBreak/>
              <w:t>Место уч</w:t>
            </w:r>
            <w:r>
              <w:rPr>
                <w:rFonts w:eastAsia="Calibri"/>
                <w:lang w:eastAsia="en-US"/>
              </w:rPr>
              <w:t>ё</w:t>
            </w:r>
            <w:r w:rsidRPr="00506CCA">
              <w:rPr>
                <w:rFonts w:eastAsia="Calibri"/>
                <w:lang w:eastAsia="en-US"/>
              </w:rPr>
              <w:t>бы (работы)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506CCA" w:rsidTr="005A3D9D">
        <w:trPr>
          <w:cantSplit/>
          <w:trHeight w:val="2184"/>
          <w:jc w:val="center"/>
        </w:trPr>
        <w:tc>
          <w:tcPr>
            <w:tcW w:w="2922" w:type="dxa"/>
            <w:gridSpan w:val="3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Контактная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информация: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а) номер телефона:</w:t>
            </w:r>
          </w:p>
          <w:p w:rsidR="001D5E00" w:rsidRPr="001F4D29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б) </w:t>
            </w:r>
            <w:proofErr w:type="spellStart"/>
            <w:r w:rsidRPr="001F4D29">
              <w:rPr>
                <w:rFonts w:eastAsia="Calibri"/>
                <w:lang w:eastAsia="en-US"/>
              </w:rPr>
              <w:t>e-mail</w:t>
            </w:r>
            <w:proofErr w:type="spellEnd"/>
            <w:r w:rsidRPr="001F4D29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321" w:type="dxa"/>
            <w:gridSpan w:val="9"/>
          </w:tcPr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  <w:p w:rsidR="001D5E00" w:rsidRPr="00506CCA" w:rsidRDefault="001D5E00" w:rsidP="005A3D9D">
            <w:pPr>
              <w:spacing w:before="200"/>
              <w:ind w:left="113" w:right="8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__________________________________________________</w:t>
            </w:r>
          </w:p>
        </w:tc>
      </w:tr>
      <w:tr w:rsidR="001D5E00" w:rsidRPr="003E3176" w:rsidTr="005A3D9D">
        <w:trPr>
          <w:trHeight w:val="1625"/>
          <w:jc w:val="center"/>
        </w:trPr>
        <w:tc>
          <w:tcPr>
            <w:tcW w:w="9243" w:type="dxa"/>
            <w:gridSpan w:val="12"/>
            <w:vAlign w:val="center"/>
          </w:tcPr>
          <w:p w:rsidR="001D5E00" w:rsidRPr="00F73E38" w:rsidRDefault="001D5E00" w:rsidP="005A3D9D">
            <w:pPr>
              <w:ind w:left="113" w:right="113" w:firstLine="284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3E38">
              <w:rPr>
                <w:rFonts w:eastAsia="Calibri"/>
                <w:b/>
                <w:sz w:val="20"/>
                <w:szCs w:val="20"/>
                <w:lang w:eastAsia="en-US"/>
              </w:rPr>
              <w:t>Выдвигаю свою кандидатуру для назначения в состав Общественной молодёжной палаты при Собрании депутатов Ненецкого автономного округа.</w:t>
            </w:r>
          </w:p>
          <w:p w:rsidR="001D5E00" w:rsidRPr="00F73E38" w:rsidRDefault="001D5E00" w:rsidP="005A3D9D">
            <w:pPr>
              <w:ind w:left="113" w:right="113" w:firstLine="284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3E38">
              <w:rPr>
                <w:rFonts w:eastAsia="Calibri"/>
                <w:b/>
                <w:sz w:val="20"/>
                <w:szCs w:val="20"/>
                <w:lang w:eastAsia="en-US"/>
              </w:rPr>
              <w:t>Настоящим подтверждаю, что неснятой или непогашенной судимости не имею, являюсь дееспособным.</w:t>
            </w:r>
          </w:p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С учётом требований Федерального закона Российской Федерации от 27 июля 2006 года № 152-ФЗ «О персональных данных» даю своё согласие на обработку, передачу и распространение моих персональных данных (включая их получение от меня и/или от любых третьих лиц):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Цель обработки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Рассмотрение вопроса о назначении моей кандидатуры в состав Общественной молодёжной палаты при Собрании депутатов Ненецкого автономного округа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3E3176">
              <w:rPr>
                <w:rFonts w:eastAsia="Calibri"/>
                <w:sz w:val="20"/>
                <w:szCs w:val="20"/>
                <w:lang w:eastAsia="en-US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место работы и должность, номер телефона (в том числе мобильный), адрес электронной почты, а также иной информации, необходимой для рассмотрения моей кандидатуры в соответствии с Положением об Общественной молодёжной палате при Собрании депутатов Ненецкого автономного округа</w:t>
            </w:r>
            <w:proofErr w:type="gramEnd"/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Перечень действий с персональными данными, на совершение которых даётся согласие на обработку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3E3176">
              <w:rPr>
                <w:rFonts w:eastAsia="Calibri"/>
                <w:sz w:val="20"/>
                <w:szCs w:val="20"/>
                <w:lang w:eastAsia="en-US"/>
              </w:rPr>
              <w:t>Для совершения действий в отношении персональных данных, которые необходимы для достижения указанных выше целей, включая без ограничения: сбор, систематизацию, хранение, уточнение (обновление, изменение), использование (в том числе передача), обезличивание, блокирование, уничтожение с учётом действующего законодательства Российской Федерации</w:t>
            </w:r>
            <w:proofErr w:type="gramEnd"/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 w:rsidR="001D5E00" w:rsidRPr="003E3176" w:rsidTr="005A3D9D">
        <w:trPr>
          <w:jc w:val="center"/>
        </w:trPr>
        <w:tc>
          <w:tcPr>
            <w:tcW w:w="3206" w:type="dxa"/>
            <w:gridSpan w:val="4"/>
            <w:vAlign w:val="center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037" w:type="dxa"/>
            <w:gridSpan w:val="8"/>
          </w:tcPr>
          <w:p w:rsidR="001D5E00" w:rsidRPr="003E3176" w:rsidRDefault="001D5E00" w:rsidP="005A3D9D">
            <w:pPr>
              <w:ind w:left="113" w:right="113" w:firstLine="28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176">
              <w:rPr>
                <w:rFonts w:eastAsia="Calibri"/>
                <w:sz w:val="20"/>
                <w:szCs w:val="20"/>
                <w:lang w:eastAsia="en-US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1D5E00" w:rsidRPr="00506CCA" w:rsidTr="005A3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E00" w:rsidRDefault="001D5E00" w:rsidP="005A3D9D">
            <w:pPr>
              <w:rPr>
                <w:rFonts w:eastAsia="Calibri"/>
                <w:lang w:eastAsia="en-US"/>
              </w:rPr>
            </w:pPr>
          </w:p>
          <w:p w:rsidR="001D5E00" w:rsidRDefault="001D5E00" w:rsidP="005A3D9D">
            <w:pPr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Приложение: на ______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506CCA">
              <w:rPr>
                <w:rFonts w:eastAsia="Calibri"/>
                <w:lang w:eastAsia="en-US"/>
              </w:rPr>
              <w:t>л</w:t>
            </w:r>
            <w:proofErr w:type="gramEnd"/>
            <w:r w:rsidRPr="00506CCA">
              <w:rPr>
                <w:rFonts w:eastAsia="Calibri"/>
                <w:lang w:eastAsia="en-US"/>
              </w:rPr>
              <w:t>.</w:t>
            </w:r>
          </w:p>
          <w:p w:rsidR="001D5E00" w:rsidRDefault="001D5E00" w:rsidP="005A3D9D">
            <w:pPr>
              <w:rPr>
                <w:rFonts w:eastAsia="Calibri"/>
                <w:lang w:eastAsia="en-US"/>
              </w:rPr>
            </w:pPr>
          </w:p>
          <w:p w:rsidR="001D5E00" w:rsidRPr="00506CCA" w:rsidRDefault="001D5E00" w:rsidP="005A3D9D">
            <w:pPr>
              <w:rPr>
                <w:rFonts w:eastAsia="Calibri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ind w:left="-453" w:right="-235" w:firstLine="453"/>
              <w:rPr>
                <w:rFonts w:eastAsia="Calibri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E00" w:rsidRPr="00506CCA" w:rsidRDefault="001D5E00" w:rsidP="005A3D9D">
            <w:pPr>
              <w:spacing w:after="480"/>
              <w:rPr>
                <w:rFonts w:eastAsia="Calibri"/>
                <w:lang w:eastAsia="en-US"/>
              </w:rPr>
            </w:pPr>
          </w:p>
        </w:tc>
      </w:tr>
      <w:tr w:rsidR="001D5E00" w:rsidRPr="008D1A9C" w:rsidTr="005A3D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cantSplit/>
          <w:jc w:val="center"/>
        </w:trPr>
        <w:tc>
          <w:tcPr>
            <w:tcW w:w="4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D1A9C">
              <w:rPr>
                <w:rFonts w:eastAsia="Calibri"/>
                <w:i/>
                <w:sz w:val="20"/>
                <w:szCs w:val="20"/>
                <w:lang w:eastAsia="en-US"/>
              </w:rPr>
              <w:t>(Фамилия И.О. субъекта персональных данных)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D1A9C">
              <w:rPr>
                <w:rFonts w:eastAsia="Calibri"/>
                <w:i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jc w:val="right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D1A9C">
              <w:rPr>
                <w:rFonts w:eastAsia="Calibri"/>
                <w:i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D5E00" w:rsidRPr="008D1A9C" w:rsidRDefault="001D5E00" w:rsidP="005A3D9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</w:tbl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Default="001D5E00" w:rsidP="001D5E00">
      <w:pPr>
        <w:jc w:val="center"/>
      </w:pPr>
      <w:r w:rsidRPr="00DD599D">
        <w:t>_____________</w:t>
      </w:r>
    </w:p>
    <w:p w:rsidR="001D5E00" w:rsidRPr="00656253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>Приложение 3</w:t>
      </w:r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656253">
        <w:rPr>
          <w:bCs/>
        </w:rPr>
        <w:t xml:space="preserve">к </w:t>
      </w:r>
      <w:r w:rsidRPr="008E6E0B">
        <w:rPr>
          <w:bCs/>
        </w:rPr>
        <w:t>Положени</w:t>
      </w:r>
      <w:r>
        <w:rPr>
          <w:bCs/>
        </w:rPr>
        <w:t xml:space="preserve">ю об </w:t>
      </w:r>
      <w:proofErr w:type="gramStart"/>
      <w:r>
        <w:rPr>
          <w:bCs/>
        </w:rPr>
        <w:t>Общественной</w:t>
      </w:r>
      <w:proofErr w:type="gramEnd"/>
      <w:r>
        <w:rPr>
          <w:bCs/>
        </w:rPr>
        <w:t xml:space="preserve"> молодёжной</w:t>
      </w:r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палате при Собрании депутатов </w:t>
      </w:r>
      <w:proofErr w:type="gramStart"/>
      <w:r>
        <w:rPr>
          <w:bCs/>
        </w:rPr>
        <w:t>Ненецкого</w:t>
      </w:r>
      <w:proofErr w:type="gramEnd"/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автономного </w:t>
      </w:r>
      <w:r w:rsidRPr="008E6E0B">
        <w:rPr>
          <w:bCs/>
        </w:rPr>
        <w:t>округа</w:t>
      </w:r>
      <w:r>
        <w:rPr>
          <w:bCs/>
        </w:rPr>
        <w:t xml:space="preserve">, </w:t>
      </w:r>
      <w:proofErr w:type="gramStart"/>
      <w:r>
        <w:rPr>
          <w:bCs/>
        </w:rPr>
        <w:t>утверждённому</w:t>
      </w:r>
      <w:proofErr w:type="gramEnd"/>
    </w:p>
    <w:p w:rsidR="001D5E00" w:rsidRDefault="001D5E00" w:rsidP="001D5E00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постановлением </w:t>
      </w:r>
      <w:r w:rsidRPr="00EF6CF9">
        <w:rPr>
          <w:bCs/>
        </w:rPr>
        <w:t>Собрания</w:t>
      </w:r>
      <w:r>
        <w:rPr>
          <w:bCs/>
        </w:rPr>
        <w:t xml:space="preserve"> </w:t>
      </w:r>
      <w:r w:rsidRPr="00EF6CF9">
        <w:rPr>
          <w:bCs/>
        </w:rPr>
        <w:t>депутатов</w:t>
      </w:r>
    </w:p>
    <w:p w:rsidR="001D5E00" w:rsidRPr="00EF6CF9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EF6CF9">
        <w:rPr>
          <w:bCs/>
        </w:rPr>
        <w:t>Ненецкого автономного округа</w:t>
      </w:r>
    </w:p>
    <w:p w:rsidR="001D5E00" w:rsidRPr="00EF6CF9" w:rsidRDefault="001D5E00" w:rsidP="001D5E00">
      <w:pPr>
        <w:autoSpaceDE w:val="0"/>
        <w:autoSpaceDN w:val="0"/>
        <w:adjustRightInd w:val="0"/>
        <w:jc w:val="right"/>
        <w:rPr>
          <w:bCs/>
        </w:rPr>
      </w:pPr>
      <w:r w:rsidRPr="00EF6CF9">
        <w:rPr>
          <w:bCs/>
        </w:rPr>
        <w:t>от 30 июня 2016 года № 193-сд</w:t>
      </w:r>
    </w:p>
    <w:p w:rsidR="001D5E00" w:rsidRPr="006956B3" w:rsidRDefault="001D5E00" w:rsidP="001D5E00">
      <w:pPr>
        <w:pStyle w:val="ConsTitle"/>
        <w:widowControl/>
        <w:autoSpaceDE/>
        <w:autoSpaceDN/>
        <w:adjustRightInd/>
        <w:spacing w:before="600" w:after="800"/>
        <w:ind w:right="0"/>
        <w:jc w:val="center"/>
        <w:rPr>
          <w:rFonts w:ascii="Times New Roman" w:hAnsi="Times New Roman" w:cs="Times New Roman"/>
          <w:bCs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Cs w:val="0"/>
          <w:snapToGrid w:val="0"/>
          <w:sz w:val="28"/>
          <w:szCs w:val="28"/>
        </w:rPr>
        <w:t>П</w:t>
      </w:r>
      <w:r w:rsidRPr="006956B3">
        <w:rPr>
          <w:rFonts w:ascii="Times New Roman" w:hAnsi="Times New Roman" w:cs="Times New Roman"/>
          <w:bCs w:val="0"/>
          <w:snapToGrid w:val="0"/>
          <w:sz w:val="28"/>
          <w:szCs w:val="28"/>
        </w:rPr>
        <w:t>одписной лист</w:t>
      </w:r>
    </w:p>
    <w:p w:rsidR="001D5E00" w:rsidRDefault="001D5E00" w:rsidP="001D5E00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506CCA">
        <w:rPr>
          <w:rFonts w:eastAsia="Calibri"/>
          <w:lang w:eastAsia="en-US"/>
        </w:rPr>
        <w:t>Мы, нижеподписавшиеся, поддерживаем выдвижение кандидатуры _____________________________________________</w:t>
      </w:r>
      <w:r>
        <w:rPr>
          <w:rFonts w:eastAsia="Calibri"/>
          <w:lang w:eastAsia="en-US"/>
        </w:rPr>
        <w:t>______________________________</w:t>
      </w:r>
      <w:r w:rsidRPr="00506CCA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родившегося (родившейся) «____</w:t>
      </w:r>
      <w:r w:rsidRPr="00506CCA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</w:t>
      </w:r>
      <w:r w:rsidRPr="00506CCA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>__</w:t>
      </w:r>
      <w:r w:rsidRPr="00506CCA">
        <w:rPr>
          <w:rFonts w:eastAsia="Calibri"/>
          <w:lang w:eastAsia="en-US"/>
        </w:rPr>
        <w:t xml:space="preserve"> _____</w:t>
      </w:r>
      <w:r>
        <w:rPr>
          <w:rFonts w:eastAsia="Calibri"/>
          <w:lang w:eastAsia="en-US"/>
        </w:rPr>
        <w:t xml:space="preserve"> </w:t>
      </w:r>
      <w:r w:rsidRPr="00506CCA">
        <w:rPr>
          <w:rFonts w:eastAsia="Calibri"/>
          <w:lang w:eastAsia="en-US"/>
        </w:rPr>
        <w:t>г</w:t>
      </w:r>
      <w:r>
        <w:rPr>
          <w:rFonts w:eastAsia="Calibri"/>
          <w:lang w:eastAsia="en-US"/>
        </w:rPr>
        <w:t>ода</w:t>
      </w:r>
      <w:r w:rsidRPr="00506CCA">
        <w:rPr>
          <w:rFonts w:eastAsia="Calibri"/>
          <w:lang w:eastAsia="en-US"/>
        </w:rPr>
        <w:t>, проживающего (проживающей) по адресу: _______________________________</w:t>
      </w:r>
      <w:r>
        <w:rPr>
          <w:rFonts w:eastAsia="Calibri"/>
          <w:lang w:eastAsia="en-US"/>
        </w:rPr>
        <w:t>____________________</w:t>
      </w:r>
      <w:r w:rsidRPr="00506CCA">
        <w:rPr>
          <w:rFonts w:eastAsia="Calibri"/>
          <w:lang w:eastAsia="en-US"/>
        </w:rPr>
        <w:t xml:space="preserve"> ___________________________________________________________________________</w:t>
      </w:r>
      <w:r>
        <w:rPr>
          <w:rFonts w:eastAsia="Calibri"/>
          <w:lang w:eastAsia="en-US"/>
        </w:rPr>
        <w:t xml:space="preserve"> </w:t>
      </w:r>
      <w:r w:rsidRPr="00506CCA">
        <w:rPr>
          <w:rFonts w:eastAsia="Calibri"/>
          <w:lang w:eastAsia="en-US"/>
        </w:rPr>
        <w:t>_________________________________</w:t>
      </w:r>
      <w:r>
        <w:rPr>
          <w:rFonts w:eastAsia="Calibri"/>
          <w:lang w:eastAsia="en-US"/>
        </w:rPr>
        <w:t>__________________________________________</w:t>
      </w:r>
      <w:r w:rsidRPr="00506CCA">
        <w:rPr>
          <w:rFonts w:eastAsia="Calibri"/>
          <w:lang w:eastAsia="en-US"/>
        </w:rPr>
        <w:t>, для назначения в состав Общественной молодёжной палаты при Собрании депутатов Ненецкого автономного округа:</w:t>
      </w:r>
    </w:p>
    <w:p w:rsidR="001D5E00" w:rsidRPr="00D109D4" w:rsidRDefault="001D5E00" w:rsidP="001D5E00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61"/>
        <w:gridCol w:w="1376"/>
        <w:gridCol w:w="1542"/>
        <w:gridCol w:w="2143"/>
        <w:gridCol w:w="1134"/>
        <w:gridCol w:w="1176"/>
      </w:tblGrid>
      <w:tr w:rsidR="001D5E00" w:rsidRPr="00506CCA" w:rsidTr="005A3D9D">
        <w:trPr>
          <w:jc w:val="center"/>
        </w:trPr>
        <w:tc>
          <w:tcPr>
            <w:tcW w:w="510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506CCA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506CCA">
              <w:rPr>
                <w:rFonts w:eastAsia="Calibri"/>
                <w:lang w:eastAsia="en-US"/>
              </w:rPr>
              <w:t>/</w:t>
            </w:r>
            <w:proofErr w:type="spellStart"/>
            <w:r w:rsidRPr="00506CCA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561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ind w:right="171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1376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1542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Адрес места жительства</w:t>
            </w:r>
          </w:p>
        </w:tc>
        <w:tc>
          <w:tcPr>
            <w:tcW w:w="2143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Серия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6CCA">
              <w:rPr>
                <w:rFonts w:eastAsia="Calibri"/>
                <w:lang w:eastAsia="en-US"/>
              </w:rPr>
              <w:t>номер паспорта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6CCA">
              <w:rPr>
                <w:rFonts w:eastAsia="Calibri"/>
                <w:lang w:eastAsia="en-US"/>
              </w:rPr>
              <w:t>документа, заменяющего паспорт гражданина</w:t>
            </w:r>
          </w:p>
        </w:tc>
        <w:tc>
          <w:tcPr>
            <w:tcW w:w="1134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Дата внесения подписи</w:t>
            </w:r>
          </w:p>
        </w:tc>
        <w:tc>
          <w:tcPr>
            <w:tcW w:w="1176" w:type="dxa"/>
            <w:vAlign w:val="center"/>
          </w:tcPr>
          <w:p w:rsidR="001D5E00" w:rsidRPr="00506CCA" w:rsidRDefault="001D5E00" w:rsidP="005A3D9D">
            <w:pPr>
              <w:spacing w:before="120" w:after="120" w:line="360" w:lineRule="auto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Подпись</w:t>
            </w:r>
          </w:p>
        </w:tc>
      </w:tr>
      <w:tr w:rsidR="001D5E00" w:rsidRPr="00506CCA" w:rsidTr="005A3D9D">
        <w:trPr>
          <w:jc w:val="center"/>
        </w:trPr>
        <w:tc>
          <w:tcPr>
            <w:tcW w:w="510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1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43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</w:tr>
      <w:tr w:rsidR="001D5E00" w:rsidRPr="00506CCA" w:rsidTr="005A3D9D">
        <w:trPr>
          <w:jc w:val="center"/>
        </w:trPr>
        <w:tc>
          <w:tcPr>
            <w:tcW w:w="510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1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43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</w:tr>
      <w:tr w:rsidR="001D5E00" w:rsidRPr="00506CCA" w:rsidTr="005A3D9D">
        <w:trPr>
          <w:jc w:val="center"/>
        </w:trPr>
        <w:tc>
          <w:tcPr>
            <w:tcW w:w="510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  <w:r w:rsidRPr="00506CCA"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1561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43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:rsidR="001D5E00" w:rsidRPr="00506CCA" w:rsidRDefault="001D5E00" w:rsidP="005A3D9D">
            <w:pPr>
              <w:spacing w:before="240" w:after="24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D5E00" w:rsidRDefault="001D5E00" w:rsidP="001D5E00">
      <w:pPr>
        <w:spacing w:line="360" w:lineRule="auto"/>
        <w:jc w:val="both"/>
        <w:rPr>
          <w:rFonts w:eastAsia="Calibri"/>
          <w:lang w:eastAsia="en-US"/>
        </w:rPr>
      </w:pPr>
    </w:p>
    <w:p w:rsidR="001D5E00" w:rsidRPr="006E0074" w:rsidRDefault="001D5E00" w:rsidP="001D5E00">
      <w:pPr>
        <w:spacing w:line="360" w:lineRule="auto"/>
        <w:jc w:val="both"/>
        <w:rPr>
          <w:rFonts w:eastAsia="Calibri"/>
          <w:lang w:eastAsia="en-US"/>
        </w:rPr>
      </w:pPr>
      <w:r w:rsidRPr="006E0074">
        <w:rPr>
          <w:rFonts w:eastAsia="Calibri"/>
          <w:lang w:eastAsia="en-US"/>
        </w:rPr>
        <w:t>Канд</w:t>
      </w:r>
      <w:r>
        <w:rPr>
          <w:rFonts w:eastAsia="Calibri"/>
          <w:lang w:eastAsia="en-US"/>
        </w:rPr>
        <w:t>идат:</w:t>
      </w:r>
    </w:p>
    <w:p w:rsidR="001D5E00" w:rsidRDefault="001D5E00" w:rsidP="001D5E00">
      <w:pPr>
        <w:ind w:firstLine="11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</w:t>
      </w:r>
    </w:p>
    <w:p w:rsidR="001D5E00" w:rsidRDefault="001D5E00" w:rsidP="001D5E00">
      <w:pPr>
        <w:ind w:firstLine="1134"/>
        <w:jc w:val="center"/>
        <w:rPr>
          <w:rFonts w:eastAsia="Calibri"/>
          <w:i/>
          <w:sz w:val="20"/>
          <w:szCs w:val="20"/>
          <w:lang w:eastAsia="en-US"/>
        </w:rPr>
      </w:pPr>
      <w:r w:rsidRPr="00D109D4">
        <w:rPr>
          <w:rFonts w:eastAsia="Calibri"/>
          <w:i/>
          <w:sz w:val="20"/>
          <w:szCs w:val="20"/>
          <w:lang w:eastAsia="en-US"/>
        </w:rPr>
        <w:t>(фамилия, имя, отчество, подпись и дата е</w:t>
      </w:r>
      <w:r>
        <w:rPr>
          <w:rFonts w:eastAsia="Calibri"/>
          <w:i/>
          <w:sz w:val="20"/>
          <w:szCs w:val="20"/>
          <w:lang w:eastAsia="en-US"/>
        </w:rPr>
        <w:t>ё</w:t>
      </w:r>
      <w:r w:rsidRPr="00D109D4">
        <w:rPr>
          <w:rFonts w:eastAsia="Calibri"/>
          <w:i/>
          <w:sz w:val="20"/>
          <w:szCs w:val="20"/>
          <w:lang w:eastAsia="en-US"/>
        </w:rPr>
        <w:t xml:space="preserve"> внесения)</w:t>
      </w: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Pr="003F4265" w:rsidRDefault="001D5E00" w:rsidP="001D5E0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D5E00" w:rsidRDefault="001D5E00" w:rsidP="001D5E00">
      <w:pPr>
        <w:jc w:val="center"/>
      </w:pPr>
      <w:r w:rsidRPr="00DD599D">
        <w:t>_____________</w:t>
      </w:r>
    </w:p>
    <w:p w:rsidR="001D5E00" w:rsidRDefault="001D5E00" w:rsidP="001D5E00"/>
    <w:p w:rsidR="001F2F86" w:rsidRDefault="001F2F86"/>
    <w:sectPr w:rsidR="001F2F86" w:rsidSect="00C84D23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38" w:rsidRDefault="00492F38" w:rsidP="00436F15">
      <w:r>
        <w:separator/>
      </w:r>
    </w:p>
  </w:endnote>
  <w:endnote w:type="continuationSeparator" w:id="0">
    <w:p w:rsidR="00492F38" w:rsidRDefault="00492F38" w:rsidP="00436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68" w:rsidRDefault="00A96DA8" w:rsidP="00B65F68">
    <w:pPr>
      <w:pStyle w:val="a3"/>
      <w:jc w:val="center"/>
    </w:pPr>
    <w:r>
      <w:fldChar w:fldCharType="begin"/>
    </w:r>
    <w:r w:rsidR="001D5E00">
      <w:instrText xml:space="preserve"> PAGE   \* MERGEFORMAT </w:instrText>
    </w:r>
    <w:r>
      <w:fldChar w:fldCharType="separate"/>
    </w:r>
    <w:r w:rsidR="00510788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38" w:rsidRDefault="00492F38" w:rsidP="00436F15">
      <w:r>
        <w:separator/>
      </w:r>
    </w:p>
  </w:footnote>
  <w:footnote w:type="continuationSeparator" w:id="0">
    <w:p w:rsidR="00492F38" w:rsidRDefault="00492F38" w:rsidP="00436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E00"/>
    <w:rsid w:val="000028BC"/>
    <w:rsid w:val="00032E96"/>
    <w:rsid w:val="00032EC3"/>
    <w:rsid w:val="00034218"/>
    <w:rsid w:val="000877F2"/>
    <w:rsid w:val="000922EF"/>
    <w:rsid w:val="0009793A"/>
    <w:rsid w:val="000B0F01"/>
    <w:rsid w:val="000C2F38"/>
    <w:rsid w:val="000D3AA8"/>
    <w:rsid w:val="000D43EF"/>
    <w:rsid w:val="000E11B9"/>
    <w:rsid w:val="000F082F"/>
    <w:rsid w:val="000F53B0"/>
    <w:rsid w:val="001312F7"/>
    <w:rsid w:val="00137C92"/>
    <w:rsid w:val="001650D2"/>
    <w:rsid w:val="001700D0"/>
    <w:rsid w:val="00177B50"/>
    <w:rsid w:val="001A7245"/>
    <w:rsid w:val="001B1B91"/>
    <w:rsid w:val="001C3BF4"/>
    <w:rsid w:val="001D5E00"/>
    <w:rsid w:val="001D5F71"/>
    <w:rsid w:val="001E2EFB"/>
    <w:rsid w:val="001E64CA"/>
    <w:rsid w:val="001F2F86"/>
    <w:rsid w:val="00200962"/>
    <w:rsid w:val="002375CF"/>
    <w:rsid w:val="002475A0"/>
    <w:rsid w:val="00247E8A"/>
    <w:rsid w:val="002506C0"/>
    <w:rsid w:val="0025470C"/>
    <w:rsid w:val="0025620E"/>
    <w:rsid w:val="00266696"/>
    <w:rsid w:val="0027431D"/>
    <w:rsid w:val="00280BA8"/>
    <w:rsid w:val="00281769"/>
    <w:rsid w:val="00283C9D"/>
    <w:rsid w:val="00285DBA"/>
    <w:rsid w:val="0029264B"/>
    <w:rsid w:val="00296B7B"/>
    <w:rsid w:val="002A27B9"/>
    <w:rsid w:val="002B368A"/>
    <w:rsid w:val="002B6967"/>
    <w:rsid w:val="002C66B9"/>
    <w:rsid w:val="002D5B4D"/>
    <w:rsid w:val="002E0593"/>
    <w:rsid w:val="002E55DB"/>
    <w:rsid w:val="003000AE"/>
    <w:rsid w:val="00300BF0"/>
    <w:rsid w:val="00303BD7"/>
    <w:rsid w:val="00305EC8"/>
    <w:rsid w:val="003079A9"/>
    <w:rsid w:val="00336173"/>
    <w:rsid w:val="003502BB"/>
    <w:rsid w:val="00363355"/>
    <w:rsid w:val="0036724E"/>
    <w:rsid w:val="0038327C"/>
    <w:rsid w:val="00383C19"/>
    <w:rsid w:val="00387EB3"/>
    <w:rsid w:val="003937AB"/>
    <w:rsid w:val="003A161B"/>
    <w:rsid w:val="003A3CDC"/>
    <w:rsid w:val="003A578D"/>
    <w:rsid w:val="003B08C8"/>
    <w:rsid w:val="003B534C"/>
    <w:rsid w:val="003C038C"/>
    <w:rsid w:val="003C39EE"/>
    <w:rsid w:val="003F3A82"/>
    <w:rsid w:val="003F616D"/>
    <w:rsid w:val="00401478"/>
    <w:rsid w:val="0040478E"/>
    <w:rsid w:val="00406286"/>
    <w:rsid w:val="00414C1E"/>
    <w:rsid w:val="00430672"/>
    <w:rsid w:val="00435E33"/>
    <w:rsid w:val="00436F15"/>
    <w:rsid w:val="00444948"/>
    <w:rsid w:val="00446D19"/>
    <w:rsid w:val="00466572"/>
    <w:rsid w:val="004703E7"/>
    <w:rsid w:val="004770DB"/>
    <w:rsid w:val="0048582D"/>
    <w:rsid w:val="00491192"/>
    <w:rsid w:val="00492F38"/>
    <w:rsid w:val="00495713"/>
    <w:rsid w:val="004A553B"/>
    <w:rsid w:val="004A57B3"/>
    <w:rsid w:val="004B318B"/>
    <w:rsid w:val="004C0400"/>
    <w:rsid w:val="004C12C8"/>
    <w:rsid w:val="004D6BDC"/>
    <w:rsid w:val="004E59D4"/>
    <w:rsid w:val="004F08BE"/>
    <w:rsid w:val="004F0C58"/>
    <w:rsid w:val="004F1CB4"/>
    <w:rsid w:val="004F24D4"/>
    <w:rsid w:val="004F595C"/>
    <w:rsid w:val="0051030F"/>
    <w:rsid w:val="00510788"/>
    <w:rsid w:val="00520864"/>
    <w:rsid w:val="00540B14"/>
    <w:rsid w:val="00542211"/>
    <w:rsid w:val="005538EF"/>
    <w:rsid w:val="005566A8"/>
    <w:rsid w:val="005603E8"/>
    <w:rsid w:val="005630F5"/>
    <w:rsid w:val="005922CD"/>
    <w:rsid w:val="00592B41"/>
    <w:rsid w:val="00593E7F"/>
    <w:rsid w:val="00595B04"/>
    <w:rsid w:val="005A353A"/>
    <w:rsid w:val="005B5D8B"/>
    <w:rsid w:val="005C0314"/>
    <w:rsid w:val="005C3941"/>
    <w:rsid w:val="005E005C"/>
    <w:rsid w:val="005E0410"/>
    <w:rsid w:val="00600D9B"/>
    <w:rsid w:val="006037AC"/>
    <w:rsid w:val="006117CD"/>
    <w:rsid w:val="0062017E"/>
    <w:rsid w:val="0062227B"/>
    <w:rsid w:val="0062482B"/>
    <w:rsid w:val="00624F01"/>
    <w:rsid w:val="00625552"/>
    <w:rsid w:val="00640FF7"/>
    <w:rsid w:val="0064564A"/>
    <w:rsid w:val="006501C9"/>
    <w:rsid w:val="006516A5"/>
    <w:rsid w:val="00656BCB"/>
    <w:rsid w:val="006648D5"/>
    <w:rsid w:val="006750EA"/>
    <w:rsid w:val="00681461"/>
    <w:rsid w:val="00682718"/>
    <w:rsid w:val="006A129D"/>
    <w:rsid w:val="006B2802"/>
    <w:rsid w:val="006C7D8F"/>
    <w:rsid w:val="006D11AC"/>
    <w:rsid w:val="006E09AA"/>
    <w:rsid w:val="006E70E5"/>
    <w:rsid w:val="006F3F3C"/>
    <w:rsid w:val="006F6217"/>
    <w:rsid w:val="00700D17"/>
    <w:rsid w:val="00701DDC"/>
    <w:rsid w:val="00706796"/>
    <w:rsid w:val="00710B4A"/>
    <w:rsid w:val="00713F48"/>
    <w:rsid w:val="007142D2"/>
    <w:rsid w:val="00717B4E"/>
    <w:rsid w:val="00720BF8"/>
    <w:rsid w:val="00726F94"/>
    <w:rsid w:val="00734E93"/>
    <w:rsid w:val="007438EC"/>
    <w:rsid w:val="007531BA"/>
    <w:rsid w:val="00762A97"/>
    <w:rsid w:val="00765AFD"/>
    <w:rsid w:val="00766662"/>
    <w:rsid w:val="007B7B99"/>
    <w:rsid w:val="007C11D0"/>
    <w:rsid w:val="007C584E"/>
    <w:rsid w:val="007C5B97"/>
    <w:rsid w:val="007D14F0"/>
    <w:rsid w:val="007D2B0B"/>
    <w:rsid w:val="007D54E6"/>
    <w:rsid w:val="007E441E"/>
    <w:rsid w:val="008221D6"/>
    <w:rsid w:val="0082559C"/>
    <w:rsid w:val="0083622F"/>
    <w:rsid w:val="00836B76"/>
    <w:rsid w:val="00842641"/>
    <w:rsid w:val="008468B4"/>
    <w:rsid w:val="00847073"/>
    <w:rsid w:val="00853EED"/>
    <w:rsid w:val="008671DE"/>
    <w:rsid w:val="00877786"/>
    <w:rsid w:val="008778E7"/>
    <w:rsid w:val="00880471"/>
    <w:rsid w:val="008817C4"/>
    <w:rsid w:val="008A46AB"/>
    <w:rsid w:val="008A50B0"/>
    <w:rsid w:val="008A6A97"/>
    <w:rsid w:val="008B24D5"/>
    <w:rsid w:val="008C5977"/>
    <w:rsid w:val="008D34CD"/>
    <w:rsid w:val="008E4607"/>
    <w:rsid w:val="008F5F34"/>
    <w:rsid w:val="00906182"/>
    <w:rsid w:val="009125FE"/>
    <w:rsid w:val="00913AE8"/>
    <w:rsid w:val="00914908"/>
    <w:rsid w:val="00922537"/>
    <w:rsid w:val="00926511"/>
    <w:rsid w:val="0093733C"/>
    <w:rsid w:val="00944C4A"/>
    <w:rsid w:val="009500E1"/>
    <w:rsid w:val="009518C1"/>
    <w:rsid w:val="0096650C"/>
    <w:rsid w:val="0097243B"/>
    <w:rsid w:val="00977A14"/>
    <w:rsid w:val="00980FF4"/>
    <w:rsid w:val="0098528B"/>
    <w:rsid w:val="0098799F"/>
    <w:rsid w:val="009B4AA4"/>
    <w:rsid w:val="009B652C"/>
    <w:rsid w:val="009C3356"/>
    <w:rsid w:val="009C3676"/>
    <w:rsid w:val="009D2375"/>
    <w:rsid w:val="009E0690"/>
    <w:rsid w:val="009E7967"/>
    <w:rsid w:val="009F38B4"/>
    <w:rsid w:val="00A01E04"/>
    <w:rsid w:val="00A02ECB"/>
    <w:rsid w:val="00A0709C"/>
    <w:rsid w:val="00A10F6E"/>
    <w:rsid w:val="00A334C3"/>
    <w:rsid w:val="00A534DA"/>
    <w:rsid w:val="00A5445C"/>
    <w:rsid w:val="00A5496E"/>
    <w:rsid w:val="00A613CD"/>
    <w:rsid w:val="00A65EF6"/>
    <w:rsid w:val="00A678A8"/>
    <w:rsid w:val="00A7756D"/>
    <w:rsid w:val="00A94348"/>
    <w:rsid w:val="00A96DA8"/>
    <w:rsid w:val="00AC140B"/>
    <w:rsid w:val="00AC3A37"/>
    <w:rsid w:val="00AD4AB5"/>
    <w:rsid w:val="00AE4FB3"/>
    <w:rsid w:val="00AF08FD"/>
    <w:rsid w:val="00AF0F2C"/>
    <w:rsid w:val="00AF3DDA"/>
    <w:rsid w:val="00AF5F9D"/>
    <w:rsid w:val="00B0575A"/>
    <w:rsid w:val="00B166C8"/>
    <w:rsid w:val="00B342BB"/>
    <w:rsid w:val="00B372EF"/>
    <w:rsid w:val="00B41470"/>
    <w:rsid w:val="00B470A1"/>
    <w:rsid w:val="00B53F98"/>
    <w:rsid w:val="00B6366D"/>
    <w:rsid w:val="00B730D9"/>
    <w:rsid w:val="00B8341F"/>
    <w:rsid w:val="00B85B23"/>
    <w:rsid w:val="00B92CD8"/>
    <w:rsid w:val="00BA4CA5"/>
    <w:rsid w:val="00BA5B97"/>
    <w:rsid w:val="00BB6BEA"/>
    <w:rsid w:val="00BC346C"/>
    <w:rsid w:val="00C06188"/>
    <w:rsid w:val="00C26A00"/>
    <w:rsid w:val="00C33502"/>
    <w:rsid w:val="00C47A3E"/>
    <w:rsid w:val="00C53370"/>
    <w:rsid w:val="00C572C0"/>
    <w:rsid w:val="00C61601"/>
    <w:rsid w:val="00C83AF9"/>
    <w:rsid w:val="00C91756"/>
    <w:rsid w:val="00C96167"/>
    <w:rsid w:val="00CA5B55"/>
    <w:rsid w:val="00CA5F02"/>
    <w:rsid w:val="00CB2C82"/>
    <w:rsid w:val="00CB2E5E"/>
    <w:rsid w:val="00CB33E8"/>
    <w:rsid w:val="00CC3B01"/>
    <w:rsid w:val="00CC5240"/>
    <w:rsid w:val="00CC79F3"/>
    <w:rsid w:val="00CF4637"/>
    <w:rsid w:val="00CF7286"/>
    <w:rsid w:val="00D01E49"/>
    <w:rsid w:val="00D10D14"/>
    <w:rsid w:val="00D11745"/>
    <w:rsid w:val="00D11CD1"/>
    <w:rsid w:val="00D12E70"/>
    <w:rsid w:val="00D13D31"/>
    <w:rsid w:val="00D246E7"/>
    <w:rsid w:val="00D26406"/>
    <w:rsid w:val="00D3406F"/>
    <w:rsid w:val="00D41D7D"/>
    <w:rsid w:val="00D55670"/>
    <w:rsid w:val="00D63FDB"/>
    <w:rsid w:val="00D67AA7"/>
    <w:rsid w:val="00D749AB"/>
    <w:rsid w:val="00D756B2"/>
    <w:rsid w:val="00D80060"/>
    <w:rsid w:val="00D90E8F"/>
    <w:rsid w:val="00D9214A"/>
    <w:rsid w:val="00D95ACF"/>
    <w:rsid w:val="00DA02B2"/>
    <w:rsid w:val="00DA62FB"/>
    <w:rsid w:val="00DB1A9E"/>
    <w:rsid w:val="00DD3BB2"/>
    <w:rsid w:val="00DD4918"/>
    <w:rsid w:val="00DE2D91"/>
    <w:rsid w:val="00DE3C31"/>
    <w:rsid w:val="00DE48E7"/>
    <w:rsid w:val="00E47A30"/>
    <w:rsid w:val="00E51F56"/>
    <w:rsid w:val="00E73A4A"/>
    <w:rsid w:val="00E8100A"/>
    <w:rsid w:val="00E85E37"/>
    <w:rsid w:val="00E918AF"/>
    <w:rsid w:val="00E92252"/>
    <w:rsid w:val="00EA26D6"/>
    <w:rsid w:val="00EB2ED3"/>
    <w:rsid w:val="00EC46E5"/>
    <w:rsid w:val="00ED3B2D"/>
    <w:rsid w:val="00EF1A8B"/>
    <w:rsid w:val="00F01572"/>
    <w:rsid w:val="00F2439F"/>
    <w:rsid w:val="00F25AC3"/>
    <w:rsid w:val="00F3690E"/>
    <w:rsid w:val="00F607D7"/>
    <w:rsid w:val="00F63458"/>
    <w:rsid w:val="00F64D20"/>
    <w:rsid w:val="00F672E6"/>
    <w:rsid w:val="00FA0F7C"/>
    <w:rsid w:val="00FA485E"/>
    <w:rsid w:val="00FA7294"/>
    <w:rsid w:val="00FB74EF"/>
    <w:rsid w:val="00FC0A03"/>
    <w:rsid w:val="00FE2E17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00" w:after="8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00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D5E00"/>
    <w:pPr>
      <w:widowControl w:val="0"/>
      <w:autoSpaceDE w:val="0"/>
      <w:autoSpaceDN w:val="0"/>
      <w:adjustRightInd w:val="0"/>
      <w:spacing w:before="0" w:after="0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11">
    <w:name w:val="1.1 Закон НАО"/>
    <w:basedOn w:val="a"/>
    <w:next w:val="a"/>
    <w:rsid w:val="001D5E00"/>
    <w:pPr>
      <w:jc w:val="center"/>
    </w:pPr>
    <w:rPr>
      <w:b/>
      <w:bCs/>
      <w:caps/>
      <w:sz w:val="28"/>
      <w:szCs w:val="28"/>
    </w:rPr>
  </w:style>
  <w:style w:type="paragraph" w:customStyle="1" w:styleId="30">
    <w:name w:val="3.0 текст постановления"/>
    <w:basedOn w:val="a"/>
    <w:rsid w:val="001D5E00"/>
    <w:pPr>
      <w:ind w:firstLine="709"/>
      <w:jc w:val="both"/>
    </w:pPr>
  </w:style>
  <w:style w:type="paragraph" w:styleId="a3">
    <w:name w:val="footer"/>
    <w:basedOn w:val="a"/>
    <w:link w:val="a4"/>
    <w:uiPriority w:val="99"/>
    <w:unhideWhenUsed/>
    <w:rsid w:val="001D5E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5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D5E00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E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24D4"/>
    <w:pPr>
      <w:widowControl w:val="0"/>
      <w:autoSpaceDE w:val="0"/>
      <w:autoSpaceDN w:val="0"/>
      <w:spacing w:before="0" w:after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4584</Words>
  <Characters>26134</Characters>
  <Application>Microsoft Office Word</Application>
  <DocSecurity>0</DocSecurity>
  <Lines>217</Lines>
  <Paragraphs>61</Paragraphs>
  <ScaleCrop>false</ScaleCrop>
  <Company>Hewlett-Packard</Company>
  <LinksUpToDate>false</LinksUpToDate>
  <CharactersWithSpaces>30657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poluhina</cp:lastModifiedBy>
  <cp:revision>2</cp:revision>
  <dcterms:created xsi:type="dcterms:W3CDTF">2018-10-09T12:51:00Z</dcterms:created>
  <dcterms:modified xsi:type="dcterms:W3CDTF">2018-10-09T12:51:00Z</dcterms:modified>
</cp:coreProperties>
</file>